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dTableLight"/>
        <w:tblpPr w:leftFromText="180" w:rightFromText="180" w:vertAnchor="page" w:horzAnchor="margin" w:tblpXSpec="center" w:tblpY="2431"/>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861"/>
        <w:gridCol w:w="4757"/>
        <w:gridCol w:w="4315"/>
      </w:tblGrid>
      <w:tr w:rsidR="00E86379" w:rsidRPr="00E07F54" w:rsidTr="00E86379">
        <w:trPr>
          <w:trHeight w:val="260"/>
        </w:trPr>
        <w:tc>
          <w:tcPr>
            <w:tcW w:w="0" w:type="auto"/>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b/>
                <w:bCs/>
                <w:color w:val="000000" w:themeColor="dark1"/>
                <w:kern w:val="24"/>
                <w:sz w:val="20"/>
                <w:szCs w:val="20"/>
                <w:lang w:eastAsia="en-IN" w:bidi="hi-IN"/>
              </w:rPr>
              <w:t>SL.NO.</w:t>
            </w:r>
          </w:p>
        </w:tc>
        <w:tc>
          <w:tcPr>
            <w:tcW w:w="0" w:type="auto"/>
            <w:tcBorders>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b/>
                <w:bCs/>
                <w:color w:val="000000" w:themeColor="dark1"/>
                <w:kern w:val="24"/>
                <w:sz w:val="20"/>
                <w:szCs w:val="20"/>
                <w:lang w:eastAsia="en-IN" w:bidi="hi-IN"/>
              </w:rPr>
              <w:t>COMMENTS/SUGGESTIONS</w:t>
            </w:r>
          </w:p>
        </w:tc>
        <w:tc>
          <w:tcPr>
            <w:tcW w:w="0" w:type="auto"/>
            <w:tcBorders>
              <w:top w:val="single" w:sz="4" w:space="0" w:color="auto"/>
              <w:left w:val="single" w:sz="4" w:space="0" w:color="auto"/>
              <w:bottom w:val="single" w:sz="4" w:space="0" w:color="auto"/>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b/>
                <w:bCs/>
                <w:color w:val="000000" w:themeColor="dark1"/>
                <w:kern w:val="24"/>
                <w:sz w:val="20"/>
                <w:szCs w:val="20"/>
                <w:lang w:eastAsia="en-IN" w:bidi="hi-IN"/>
              </w:rPr>
              <w:t>MECL RESPONSE</w:t>
            </w:r>
          </w:p>
        </w:tc>
      </w:tr>
      <w:tr w:rsidR="00E86379" w:rsidRPr="00E07F54" w:rsidTr="00E86379">
        <w:trPr>
          <w:trHeight w:val="515"/>
        </w:trPr>
        <w:tc>
          <w:tcPr>
            <w:tcW w:w="0" w:type="auto"/>
            <w:hideMark/>
          </w:tcPr>
          <w:p w:rsidR="00E86379" w:rsidRPr="00AD2EA0" w:rsidRDefault="00E86379" w:rsidP="00E86379">
            <w:pPr>
              <w:spacing w:before="0"/>
              <w:ind w:left="0" w:firstLine="0"/>
              <w:jc w:val="center"/>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 xml:space="preserve">A) </w:t>
            </w:r>
          </w:p>
        </w:tc>
        <w:tc>
          <w:tcPr>
            <w:tcW w:w="0" w:type="auto"/>
            <w:tcBorders>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Stratigraphic units are to begin always with capital letters.</w:t>
            </w:r>
            <w:r w:rsidRPr="00AD2EA0">
              <w:rPr>
                <w:rFonts w:ascii="Times New Roman" w:eastAsia="Times New Roman" w:hAnsi="Times New Roman" w:cs="Times New Roman"/>
                <w:color w:val="000000" w:themeColor="dark1"/>
                <w:kern w:val="24"/>
                <w:sz w:val="20"/>
                <w:szCs w:val="20"/>
                <w:lang w:eastAsia="en-IN" w:bidi="hi-IN"/>
              </w:rPr>
              <w:br/>
              <w:t>Eg.Putnur-Mangurda Formation.</w:t>
            </w:r>
          </w:p>
        </w:tc>
        <w:tc>
          <w:tcPr>
            <w:tcW w:w="0" w:type="auto"/>
            <w:tcBorders>
              <w:top w:val="single" w:sz="4" w:space="0" w:color="auto"/>
              <w:left w:val="single" w:sz="4" w:space="0" w:color="auto"/>
              <w:bottom w:val="single" w:sz="4" w:space="0" w:color="auto"/>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Attended</w:t>
            </w:r>
          </w:p>
        </w:tc>
      </w:tr>
      <w:tr w:rsidR="00E86379" w:rsidRPr="00E07F54" w:rsidTr="00E86379">
        <w:trPr>
          <w:trHeight w:val="1738"/>
        </w:trPr>
        <w:tc>
          <w:tcPr>
            <w:tcW w:w="0" w:type="auto"/>
            <w:hideMark/>
          </w:tcPr>
          <w:p w:rsidR="00E86379" w:rsidRPr="00AD2EA0" w:rsidRDefault="00E86379" w:rsidP="00E86379">
            <w:pPr>
              <w:spacing w:before="0"/>
              <w:ind w:left="0" w:firstLine="0"/>
              <w:jc w:val="center"/>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B)</w:t>
            </w:r>
          </w:p>
        </w:tc>
        <w:tc>
          <w:tcPr>
            <w:tcW w:w="0" w:type="auto"/>
            <w:tcBorders>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In geological map there is discordance between topographic contours and alignment of beds which may be explained in the chapter on Geology of the study area (block)</w:t>
            </w:r>
          </w:p>
        </w:tc>
        <w:tc>
          <w:tcPr>
            <w:tcW w:w="0" w:type="auto"/>
            <w:tcBorders>
              <w:top w:val="single" w:sz="4" w:space="0" w:color="auto"/>
              <w:left w:val="single" w:sz="4" w:space="0" w:color="auto"/>
              <w:bottom w:val="single" w:sz="4" w:space="0" w:color="auto"/>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text1"/>
                <w:kern w:val="24"/>
                <w:sz w:val="20"/>
                <w:szCs w:val="20"/>
                <w:lang w:eastAsia="en-IN" w:bidi="hi-IN"/>
              </w:rPr>
              <w:t>Attended (Localised folding may be present within the block area, as indicated by variations in strike and dip observed at several locations. The strike changes are confined to a zone approximately 50–100 meters wide, suggesting the presence of localised structural folding. Additionally, a dolerite dyke intrusion trending NW–SE, with an approximate width of 150 meters, traverses the area. This intrusion likely induced dolomitisation of in-situ limestone and may have contributed to the observed deformation patterns.)</w:t>
            </w:r>
          </w:p>
        </w:tc>
      </w:tr>
      <w:tr w:rsidR="00E86379" w:rsidRPr="00E07F54" w:rsidTr="00E86379">
        <w:trPr>
          <w:trHeight w:val="493"/>
        </w:trPr>
        <w:tc>
          <w:tcPr>
            <w:tcW w:w="0" w:type="auto"/>
            <w:hideMark/>
          </w:tcPr>
          <w:p w:rsidR="00E86379" w:rsidRPr="00AD2EA0" w:rsidRDefault="00E86379" w:rsidP="00E86379">
            <w:pPr>
              <w:spacing w:before="0"/>
              <w:ind w:left="0" w:firstLine="0"/>
              <w:jc w:val="center"/>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C)</w:t>
            </w:r>
          </w:p>
        </w:tc>
        <w:tc>
          <w:tcPr>
            <w:tcW w:w="0" w:type="auto"/>
            <w:tcBorders>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Core photos of mineralized zones would have been presented to give transparency to the reader.</w:t>
            </w:r>
          </w:p>
        </w:tc>
        <w:tc>
          <w:tcPr>
            <w:tcW w:w="0" w:type="auto"/>
            <w:tcBorders>
              <w:top w:val="single" w:sz="4" w:space="0" w:color="auto"/>
              <w:left w:val="single" w:sz="4" w:space="0" w:color="auto"/>
              <w:bottom w:val="single" w:sz="4" w:space="0" w:color="auto"/>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 xml:space="preserve">Attended </w:t>
            </w:r>
          </w:p>
        </w:tc>
      </w:tr>
      <w:tr w:rsidR="00E86379" w:rsidRPr="00E07F54" w:rsidTr="00E86379">
        <w:trPr>
          <w:trHeight w:val="662"/>
        </w:trPr>
        <w:tc>
          <w:tcPr>
            <w:tcW w:w="0" w:type="auto"/>
            <w:hideMark/>
          </w:tcPr>
          <w:p w:rsidR="00E86379" w:rsidRPr="00AD2EA0" w:rsidRDefault="00E86379" w:rsidP="00E86379">
            <w:pPr>
              <w:spacing w:before="0"/>
              <w:ind w:left="0" w:firstLine="0"/>
              <w:jc w:val="center"/>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D)</w:t>
            </w:r>
          </w:p>
        </w:tc>
        <w:tc>
          <w:tcPr>
            <w:tcW w:w="0" w:type="auto"/>
            <w:tcBorders>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Borehole wise core recovery and total core recovery may be presented. In case of any drastic fall of the core recovery, the reason may be presented.</w:t>
            </w:r>
          </w:p>
        </w:tc>
        <w:tc>
          <w:tcPr>
            <w:tcW w:w="0" w:type="auto"/>
            <w:tcBorders>
              <w:top w:val="single" w:sz="4" w:space="0" w:color="auto"/>
              <w:left w:val="single" w:sz="4" w:space="0" w:color="auto"/>
              <w:bottom w:val="single" w:sz="4" w:space="0" w:color="auto"/>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Attended (The average core recovery in all the boreholes is 91%. However, in Bh no. MHG-05 the core recovery is 75% due to loose and highly fractured formation.)</w:t>
            </w:r>
          </w:p>
        </w:tc>
      </w:tr>
      <w:tr w:rsidR="00E86379" w:rsidRPr="00E07F54" w:rsidTr="00E86379">
        <w:trPr>
          <w:trHeight w:val="515"/>
        </w:trPr>
        <w:tc>
          <w:tcPr>
            <w:tcW w:w="0" w:type="auto"/>
            <w:hideMark/>
          </w:tcPr>
          <w:p w:rsidR="00E86379" w:rsidRPr="00AD2EA0" w:rsidRDefault="00E86379" w:rsidP="00E86379">
            <w:pPr>
              <w:spacing w:before="0"/>
              <w:ind w:left="0" w:firstLine="0"/>
              <w:jc w:val="center"/>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E)</w:t>
            </w:r>
          </w:p>
        </w:tc>
        <w:tc>
          <w:tcPr>
            <w:tcW w:w="0" w:type="auto"/>
            <w:tcBorders>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In the Plate-IV the sequence of logs may be re arranged section wise S1-S1’: (MHG-1, MHG-6 &amp; MHG-2) and S2-S2’: (MHG-4, MHG-5 &amp; MHG-3)</w:t>
            </w:r>
          </w:p>
        </w:tc>
        <w:tc>
          <w:tcPr>
            <w:tcW w:w="0" w:type="auto"/>
            <w:tcBorders>
              <w:top w:val="single" w:sz="4" w:space="0" w:color="auto"/>
              <w:left w:val="single" w:sz="4" w:space="0" w:color="auto"/>
              <w:bottom w:val="single" w:sz="4" w:space="0" w:color="auto"/>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 xml:space="preserve">Attended </w:t>
            </w:r>
          </w:p>
        </w:tc>
      </w:tr>
      <w:tr w:rsidR="00E86379" w:rsidRPr="00E07F54" w:rsidTr="00E86379">
        <w:trPr>
          <w:trHeight w:val="335"/>
        </w:trPr>
        <w:tc>
          <w:tcPr>
            <w:tcW w:w="0" w:type="auto"/>
            <w:hideMark/>
          </w:tcPr>
          <w:p w:rsidR="00E86379" w:rsidRPr="00AD2EA0" w:rsidRDefault="00E86379" w:rsidP="00E86379">
            <w:pPr>
              <w:spacing w:before="0"/>
              <w:ind w:left="0" w:firstLine="0"/>
              <w:jc w:val="center"/>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F)</w:t>
            </w:r>
          </w:p>
        </w:tc>
        <w:tc>
          <w:tcPr>
            <w:tcW w:w="0" w:type="auto"/>
            <w:tcBorders>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Areal extent of the polygons shown in plate-V may be verified.</w:t>
            </w:r>
          </w:p>
        </w:tc>
        <w:tc>
          <w:tcPr>
            <w:tcW w:w="0" w:type="auto"/>
            <w:tcBorders>
              <w:top w:val="single" w:sz="4" w:space="0" w:color="auto"/>
              <w:left w:val="single" w:sz="4" w:space="0" w:color="auto"/>
              <w:bottom w:val="single" w:sz="4" w:space="0" w:color="auto"/>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 xml:space="preserve">Attended </w:t>
            </w:r>
          </w:p>
        </w:tc>
      </w:tr>
      <w:tr w:rsidR="00E86379" w:rsidRPr="00E07F54" w:rsidTr="00E86379">
        <w:trPr>
          <w:trHeight w:val="1429"/>
        </w:trPr>
        <w:tc>
          <w:tcPr>
            <w:tcW w:w="0" w:type="auto"/>
            <w:hideMark/>
          </w:tcPr>
          <w:p w:rsidR="00E86379" w:rsidRPr="00AD2EA0" w:rsidRDefault="00E86379" w:rsidP="00E86379">
            <w:pPr>
              <w:spacing w:before="0"/>
              <w:ind w:left="0" w:firstLine="0"/>
              <w:jc w:val="center"/>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G)</w:t>
            </w:r>
          </w:p>
        </w:tc>
        <w:tc>
          <w:tcPr>
            <w:tcW w:w="0" w:type="auto"/>
            <w:tcBorders>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As a customary, the ore volume is measured in tonnages, similarly OB and inter-burden of the mineralized zones may be mentioned clearly in the text document, volume of the waste material (OB + inter-burden) may be approximately estimated in BCM (Ban Cubic Meters) to give more clarity for the conceptualization of prospective bidders.</w:t>
            </w:r>
          </w:p>
        </w:tc>
        <w:tc>
          <w:tcPr>
            <w:tcW w:w="0" w:type="auto"/>
            <w:tcBorders>
              <w:top w:val="single" w:sz="4" w:space="0" w:color="auto"/>
              <w:left w:val="single" w:sz="4" w:space="0" w:color="auto"/>
              <w:bottom w:val="single" w:sz="4" w:space="0" w:color="auto"/>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Attended (The block is in exploration stage, dolomite has been classified as per the IBM grade classification,2018.In some part of the block, unclassified dolomite exists which may be utilised as ore but presently not considered in ore resources. Hence there is a confusion in classifying overburden/interburden and unclassified dolomite. In light of above, overburden/interburden volume has not been calculated. However, the said calculation will be done during feasibility study)</w:t>
            </w:r>
          </w:p>
        </w:tc>
      </w:tr>
      <w:tr w:rsidR="00E86379" w:rsidRPr="00E07F54" w:rsidTr="00E86379">
        <w:trPr>
          <w:trHeight w:val="1275"/>
        </w:trPr>
        <w:tc>
          <w:tcPr>
            <w:tcW w:w="0" w:type="auto"/>
            <w:hideMark/>
          </w:tcPr>
          <w:p w:rsidR="00E86379" w:rsidRPr="00AD2EA0" w:rsidRDefault="00E86379" w:rsidP="00E86379">
            <w:pPr>
              <w:spacing w:before="0"/>
              <w:ind w:left="0" w:firstLine="0"/>
              <w:jc w:val="center"/>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H)</w:t>
            </w:r>
          </w:p>
        </w:tc>
        <w:tc>
          <w:tcPr>
            <w:tcW w:w="0" w:type="auto"/>
            <w:tcBorders>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The QA-QC of the analytical chapter should have contained the repeatability and reproducibility in the form of duplicates, repeats, blind samples and standards, if any, should be incorporated</w:t>
            </w:r>
          </w:p>
        </w:tc>
        <w:tc>
          <w:tcPr>
            <w:tcW w:w="0" w:type="auto"/>
            <w:tcBorders>
              <w:top w:val="single" w:sz="4" w:space="0" w:color="auto"/>
              <w:left w:val="single" w:sz="4" w:space="0" w:color="auto"/>
              <w:bottom w:val="single" w:sz="4" w:space="0" w:color="auto"/>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Attended (Quality control (QC) ensures accuracy, precision and reliability of analytical results in XRF Analysis. It involves systematic procedures to monitor and maintain data integrity. Running blanks, duplicates, and CRMs after every 20 samples ensures data quality, detects contamination, checks precision, and validates accuracy, which are critical for reliable XRF results.)</w:t>
            </w:r>
          </w:p>
        </w:tc>
      </w:tr>
      <w:tr w:rsidR="00E86379" w:rsidRPr="00E07F54" w:rsidTr="00E86379">
        <w:trPr>
          <w:trHeight w:val="493"/>
        </w:trPr>
        <w:tc>
          <w:tcPr>
            <w:tcW w:w="0" w:type="auto"/>
            <w:hideMark/>
          </w:tcPr>
          <w:p w:rsidR="00E86379" w:rsidRPr="00AD2EA0" w:rsidRDefault="00E86379" w:rsidP="00E86379">
            <w:pPr>
              <w:spacing w:before="0"/>
              <w:ind w:left="0" w:firstLine="0"/>
              <w:jc w:val="center"/>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I)</w:t>
            </w:r>
          </w:p>
        </w:tc>
        <w:tc>
          <w:tcPr>
            <w:tcW w:w="0" w:type="auto"/>
            <w:tcBorders>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Minor corrections annotated in the hard copy may be attended.</w:t>
            </w:r>
          </w:p>
        </w:tc>
        <w:tc>
          <w:tcPr>
            <w:tcW w:w="0" w:type="auto"/>
            <w:tcBorders>
              <w:top w:val="single" w:sz="4" w:space="0" w:color="auto"/>
              <w:left w:val="single" w:sz="4" w:space="0" w:color="auto"/>
              <w:bottom w:val="single" w:sz="4" w:space="0" w:color="auto"/>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Attended</w:t>
            </w:r>
          </w:p>
        </w:tc>
      </w:tr>
      <w:tr w:rsidR="00E86379" w:rsidRPr="00E07F54" w:rsidTr="00E86379">
        <w:trPr>
          <w:trHeight w:val="515"/>
        </w:trPr>
        <w:tc>
          <w:tcPr>
            <w:tcW w:w="0" w:type="auto"/>
            <w:hideMark/>
          </w:tcPr>
          <w:p w:rsidR="00E86379" w:rsidRPr="00AD2EA0" w:rsidRDefault="00E86379" w:rsidP="00E86379">
            <w:pPr>
              <w:spacing w:before="0"/>
              <w:ind w:left="0" w:firstLine="0"/>
              <w:jc w:val="center"/>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J)</w:t>
            </w:r>
          </w:p>
        </w:tc>
        <w:tc>
          <w:tcPr>
            <w:tcW w:w="0" w:type="auto"/>
            <w:tcBorders>
              <w:right w:val="single" w:sz="4" w:space="0" w:color="auto"/>
            </w:tcBorders>
            <w:hideMark/>
          </w:tcPr>
          <w:p w:rsidR="00E86379" w:rsidRPr="00AD2EA0" w:rsidRDefault="00E86379" w:rsidP="00E86379">
            <w:pPr>
              <w:spacing w:before="0"/>
              <w:ind w:left="0" w:firstLine="0"/>
              <w:jc w:val="left"/>
              <w:textAlignment w:val="center"/>
              <w:rPr>
                <w:rFonts w:ascii="Times New Roman" w:eastAsia="Times New Roman" w:hAnsi="Times New Roman" w:cs="Times New Roman"/>
                <w:kern w:val="0"/>
                <w:sz w:val="20"/>
                <w:szCs w:val="20"/>
                <w:lang w:eastAsia="en-IN" w:bidi="hi-IN"/>
              </w:rPr>
            </w:pPr>
            <w:r w:rsidRPr="00AD2EA0">
              <w:rPr>
                <w:rFonts w:ascii="Times New Roman" w:eastAsia="Times New Roman" w:hAnsi="Times New Roman" w:cs="Times New Roman"/>
                <w:color w:val="000000" w:themeColor="dark1"/>
                <w:kern w:val="24"/>
                <w:sz w:val="20"/>
                <w:szCs w:val="20"/>
                <w:lang w:eastAsia="en-IN" w:bidi="hi-IN"/>
              </w:rPr>
              <w:t>The report may be approved by the concerned authorities subject to reconciliation of the points mentioned above.</w:t>
            </w:r>
          </w:p>
        </w:tc>
        <w:tc>
          <w:tcPr>
            <w:tcW w:w="0" w:type="auto"/>
            <w:tcBorders>
              <w:top w:val="single" w:sz="4" w:space="0" w:color="auto"/>
              <w:left w:val="single" w:sz="4" w:space="0" w:color="auto"/>
              <w:bottom w:val="single" w:sz="4" w:space="0" w:color="auto"/>
              <w:right w:val="single" w:sz="4" w:space="0" w:color="auto"/>
            </w:tcBorders>
            <w:hideMark/>
          </w:tcPr>
          <w:p w:rsidR="00E86379" w:rsidRPr="00AD2EA0" w:rsidRDefault="00E86379" w:rsidP="00E86379">
            <w:pPr>
              <w:spacing w:before="0"/>
              <w:ind w:left="0" w:firstLine="0"/>
              <w:jc w:val="left"/>
              <w:rPr>
                <w:rFonts w:ascii="Times New Roman" w:eastAsia="Times New Roman" w:hAnsi="Times New Roman" w:cs="Times New Roman"/>
                <w:kern w:val="0"/>
                <w:sz w:val="20"/>
                <w:szCs w:val="20"/>
                <w:lang w:eastAsia="en-IN" w:bidi="hi-IN"/>
              </w:rPr>
            </w:pPr>
            <w:r w:rsidRPr="00E07F54">
              <w:rPr>
                <w:rFonts w:ascii="Times New Roman" w:eastAsia="Times New Roman" w:hAnsi="Times New Roman" w:cs="Times New Roman"/>
                <w:kern w:val="0"/>
                <w:sz w:val="20"/>
                <w:szCs w:val="20"/>
                <w:lang w:eastAsia="en-IN" w:bidi="hi-IN"/>
              </w:rPr>
              <w:t>All suggestions provided by Dr. G. Lakshminarayana, Director (Rtd.), GSI, have been duly incorporated. Additionally, comments from NMET (TCC) members during the 79th TCC-I meeting have also been taken into account.</w:t>
            </w:r>
          </w:p>
        </w:tc>
      </w:tr>
    </w:tbl>
    <w:p w:rsidR="00E86379" w:rsidRPr="009312A5" w:rsidRDefault="00E86379" w:rsidP="00E86379">
      <w:pPr>
        <w:ind w:left="-1418" w:firstLine="1134"/>
        <w:jc w:val="center"/>
        <w:rPr>
          <w:rFonts w:ascii="Times New Roman" w:hAnsi="Times New Roman" w:cs="Times New Roman"/>
          <w:b/>
          <w:bCs/>
        </w:rPr>
      </w:pPr>
      <w:r>
        <w:rPr>
          <w:rFonts w:ascii="Times New Roman" w:hAnsi="Times New Roman" w:cs="Times New Roman"/>
          <w:b/>
          <w:bCs/>
        </w:rPr>
        <w:t xml:space="preserve">MECL RESPONSE TO THE COMMENTS </w:t>
      </w:r>
      <w:r w:rsidRPr="009312A5">
        <w:rPr>
          <w:rFonts w:ascii="Times New Roman" w:hAnsi="Times New Roman" w:cs="Times New Roman"/>
          <w:b/>
          <w:bCs/>
        </w:rPr>
        <w:t>IN HIWARDHARA-GANESHPURA BLOCK</w:t>
      </w:r>
      <w:r>
        <w:rPr>
          <w:rFonts w:ascii="Times New Roman" w:hAnsi="Times New Roman" w:cs="Times New Roman"/>
          <w:b/>
          <w:bCs/>
        </w:rPr>
        <w:t xml:space="preserve"> </w:t>
      </w:r>
      <w:r w:rsidRPr="009312A5">
        <w:rPr>
          <w:rFonts w:ascii="Times New Roman" w:hAnsi="Times New Roman" w:cs="Times New Roman"/>
          <w:b/>
          <w:bCs/>
        </w:rPr>
        <w:t>DISTRICT: YAVATMAL, MAHARASHTRA</w:t>
      </w:r>
    </w:p>
    <w:p w:rsidR="00E86379" w:rsidRDefault="00E86379" w:rsidP="00AD2EA0">
      <w:pPr>
        <w:rPr>
          <w:rFonts w:ascii="Times New Roman" w:eastAsia="Times New Roman" w:hAnsi="Times New Roman" w:cs="Times New Roman"/>
          <w:b/>
          <w:bCs/>
          <w:kern w:val="0"/>
          <w:sz w:val="20"/>
          <w:szCs w:val="20"/>
          <w:lang w:eastAsia="en-IN" w:bidi="hi-IN"/>
        </w:rPr>
      </w:pPr>
    </w:p>
    <w:p w:rsidR="00414C71" w:rsidRPr="00414C71" w:rsidRDefault="00414C71" w:rsidP="00AD2EA0">
      <w:pPr>
        <w:rPr>
          <w:b/>
          <w:bCs/>
        </w:rPr>
      </w:pPr>
      <w:r w:rsidRPr="00414C71">
        <w:rPr>
          <w:rFonts w:ascii="Times New Roman" w:eastAsia="Times New Roman" w:hAnsi="Times New Roman" w:cs="Times New Roman"/>
          <w:b/>
          <w:bCs/>
          <w:kern w:val="0"/>
          <w:sz w:val="20"/>
          <w:szCs w:val="20"/>
          <w:lang w:eastAsia="en-IN" w:bidi="hi-IN"/>
        </w:rPr>
        <w:t>Peer Review by Dr. G. Lakshminarayana, Director (Rtd.), GSI</w:t>
      </w:r>
    </w:p>
    <w:sectPr w:rsidR="00414C71" w:rsidRPr="00414C71" w:rsidSect="00E07F54">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C3D" w:rsidRDefault="002C6C3D" w:rsidP="00E07F54">
      <w:pPr>
        <w:spacing w:before="0" w:line="240" w:lineRule="auto"/>
      </w:pPr>
      <w:r>
        <w:separator/>
      </w:r>
    </w:p>
  </w:endnote>
  <w:endnote w:type="continuationSeparator" w:id="1">
    <w:p w:rsidR="002C6C3D" w:rsidRDefault="002C6C3D" w:rsidP="00E07F54">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auto"/>
    <w:pitch w:val="variable"/>
    <w:sig w:usb0="00008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C3D" w:rsidRDefault="002C6C3D" w:rsidP="00E07F54">
      <w:pPr>
        <w:spacing w:before="0" w:line="240" w:lineRule="auto"/>
      </w:pPr>
      <w:r>
        <w:separator/>
      </w:r>
    </w:p>
  </w:footnote>
  <w:footnote w:type="continuationSeparator" w:id="1">
    <w:p w:rsidR="002C6C3D" w:rsidRDefault="002C6C3D" w:rsidP="00E07F54">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379" w:rsidRDefault="00E86379">
    <w:pPr>
      <w:pStyle w:val="Header"/>
      <w:rPr>
        <w:lang w:val="en-US"/>
      </w:rPr>
    </w:pPr>
    <w:r>
      <w:rPr>
        <w:noProof/>
        <w:lang w:val="en-US" w:bidi="hi-IN"/>
      </w:rPr>
      <w:drawing>
        <wp:anchor distT="0" distB="0" distL="114300" distR="114300" simplePos="0" relativeHeight="251658240" behindDoc="1" locked="0" layoutInCell="1" allowOverlap="1">
          <wp:simplePos x="0" y="0"/>
          <wp:positionH relativeFrom="column">
            <wp:posOffset>5848350</wp:posOffset>
          </wp:positionH>
          <wp:positionV relativeFrom="paragraph">
            <wp:posOffset>-68580</wp:posOffset>
          </wp:positionV>
          <wp:extent cx="410210" cy="504825"/>
          <wp:effectExtent l="19050" t="0" r="8890" b="0"/>
          <wp:wrapTight wrapText="bothSides">
            <wp:wrapPolygon edited="0">
              <wp:start x="-1003" y="0"/>
              <wp:lineTo x="-1003" y="21192"/>
              <wp:lineTo x="22068" y="21192"/>
              <wp:lineTo x="22068" y="0"/>
              <wp:lineTo x="-1003" y="0"/>
            </wp:wrapPolygon>
          </wp:wrapTight>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stretch>
                    <a:fillRect/>
                  </a:stretch>
                </pic:blipFill>
                <pic:spPr>
                  <a:xfrm>
                    <a:off x="0" y="0"/>
                    <a:ext cx="410210" cy="504825"/>
                  </a:xfrm>
                  <a:prstGeom prst="rect">
                    <a:avLst/>
                  </a:prstGeom>
                </pic:spPr>
              </pic:pic>
            </a:graphicData>
          </a:graphic>
        </wp:anchor>
      </w:drawing>
    </w:r>
  </w:p>
  <w:p w:rsidR="00E86379" w:rsidRPr="00E86379" w:rsidRDefault="00E86379" w:rsidP="00E86379">
    <w:pPr>
      <w:pStyle w:val="Header"/>
      <w:jc w:val="right"/>
      <w:rPr>
        <w:rFonts w:ascii="Times New Roman" w:hAnsi="Times New Roman" w:cs="Times New Roman"/>
        <w:sz w:val="24"/>
        <w:szCs w:val="24"/>
        <w:lang w:val="en-US"/>
      </w:rPr>
    </w:pPr>
    <w:r w:rsidRPr="00E86379">
      <w:rPr>
        <w:rFonts w:ascii="Times New Roman" w:hAnsi="Times New Roman" w:cs="Times New Roman"/>
        <w:sz w:val="24"/>
        <w:szCs w:val="24"/>
        <w:lang w:val="en-US"/>
      </w:rPr>
      <w:t>ANNEXURE XI-B/</w:t>
    </w:r>
    <w:r w:rsidRPr="00E86379">
      <w:rPr>
        <w:rFonts w:ascii="Times New Roman" w:hAnsi="Times New Roman" w:cs="Times New Roman"/>
        <w:sz w:val="24"/>
        <w:szCs w:val="24"/>
        <w:lang w:val="en-US"/>
      </w:rPr>
      <w:fldChar w:fldCharType="begin"/>
    </w:r>
    <w:r w:rsidRPr="00E86379">
      <w:rPr>
        <w:rFonts w:ascii="Times New Roman" w:hAnsi="Times New Roman" w:cs="Times New Roman"/>
        <w:sz w:val="24"/>
        <w:szCs w:val="24"/>
        <w:lang w:val="en-US"/>
      </w:rPr>
      <w:instrText xml:space="preserve"> PAGE   \* MERGEFORMAT </w:instrText>
    </w:r>
    <w:r w:rsidRPr="00E86379">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1</w:t>
    </w:r>
    <w:r w:rsidRPr="00E86379">
      <w:rPr>
        <w:rFonts w:ascii="Times New Roman" w:hAnsi="Times New Roman" w:cs="Times New Roman"/>
        <w:sz w:val="24"/>
        <w:szCs w:val="24"/>
        <w:lang w:val="en-US"/>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rsids>
    <w:rsidRoot w:val="00A4552E"/>
    <w:rsid w:val="002C6C3D"/>
    <w:rsid w:val="00414C71"/>
    <w:rsid w:val="00980A9C"/>
    <w:rsid w:val="00A4552E"/>
    <w:rsid w:val="00A90191"/>
    <w:rsid w:val="00AD2EA0"/>
    <w:rsid w:val="00C34E91"/>
    <w:rsid w:val="00DA5BF2"/>
    <w:rsid w:val="00E07F54"/>
    <w:rsid w:val="00E12763"/>
    <w:rsid w:val="00E254C3"/>
    <w:rsid w:val="00E25A66"/>
    <w:rsid w:val="00E8637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IN" w:eastAsia="en-US" w:bidi="ar-SA"/>
      </w:rPr>
    </w:rPrDefault>
    <w:pPrDefault>
      <w:pPr>
        <w:spacing w:before="2" w:line="360" w:lineRule="auto"/>
        <w:ind w:left="709" w:hanging="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BF2"/>
  </w:style>
  <w:style w:type="paragraph" w:styleId="Heading1">
    <w:name w:val="heading 1"/>
    <w:basedOn w:val="Normal"/>
    <w:next w:val="Normal"/>
    <w:link w:val="Heading1Char"/>
    <w:uiPriority w:val="9"/>
    <w:qFormat/>
    <w:rsid w:val="00A4552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4552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4552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4552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4552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4552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552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552E"/>
    <w:pPr>
      <w:keepNext/>
      <w:keepLines/>
      <w:spacing w:before="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552E"/>
    <w:pPr>
      <w:keepNext/>
      <w:keepLines/>
      <w:spacing w:before="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552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4552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4552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4552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4552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455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55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55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552E"/>
    <w:rPr>
      <w:rFonts w:eastAsiaTheme="majorEastAsia" w:cstheme="majorBidi"/>
      <w:color w:val="272727" w:themeColor="text1" w:themeTint="D8"/>
    </w:rPr>
  </w:style>
  <w:style w:type="paragraph" w:styleId="Title">
    <w:name w:val="Title"/>
    <w:basedOn w:val="Normal"/>
    <w:next w:val="Normal"/>
    <w:link w:val="TitleChar"/>
    <w:uiPriority w:val="10"/>
    <w:qFormat/>
    <w:rsid w:val="00A4552E"/>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55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552E"/>
    <w:pPr>
      <w:numPr>
        <w:ilvl w:val="1"/>
      </w:numPr>
      <w:spacing w:after="160"/>
      <w:ind w:left="709" w:hanging="709"/>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55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552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552E"/>
    <w:rPr>
      <w:i/>
      <w:iCs/>
      <w:color w:val="404040" w:themeColor="text1" w:themeTint="BF"/>
    </w:rPr>
  </w:style>
  <w:style w:type="paragraph" w:styleId="ListParagraph">
    <w:name w:val="List Paragraph"/>
    <w:basedOn w:val="Normal"/>
    <w:uiPriority w:val="34"/>
    <w:qFormat/>
    <w:rsid w:val="00A4552E"/>
    <w:pPr>
      <w:ind w:left="720"/>
      <w:contextualSpacing/>
    </w:pPr>
  </w:style>
  <w:style w:type="character" w:styleId="IntenseEmphasis">
    <w:name w:val="Intense Emphasis"/>
    <w:basedOn w:val="DefaultParagraphFont"/>
    <w:uiPriority w:val="21"/>
    <w:qFormat/>
    <w:rsid w:val="00A4552E"/>
    <w:rPr>
      <w:i/>
      <w:iCs/>
      <w:color w:val="2F5496" w:themeColor="accent1" w:themeShade="BF"/>
    </w:rPr>
  </w:style>
  <w:style w:type="paragraph" w:styleId="IntenseQuote">
    <w:name w:val="Intense Quote"/>
    <w:basedOn w:val="Normal"/>
    <w:next w:val="Normal"/>
    <w:link w:val="IntenseQuoteChar"/>
    <w:uiPriority w:val="30"/>
    <w:qFormat/>
    <w:rsid w:val="00A4552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4552E"/>
    <w:rPr>
      <w:i/>
      <w:iCs/>
      <w:color w:val="2F5496" w:themeColor="accent1" w:themeShade="BF"/>
    </w:rPr>
  </w:style>
  <w:style w:type="character" w:styleId="IntenseReference">
    <w:name w:val="Intense Reference"/>
    <w:basedOn w:val="DefaultParagraphFont"/>
    <w:uiPriority w:val="32"/>
    <w:qFormat/>
    <w:rsid w:val="00A4552E"/>
    <w:rPr>
      <w:b/>
      <w:bCs/>
      <w:smallCaps/>
      <w:color w:val="2F5496" w:themeColor="accent1" w:themeShade="BF"/>
      <w:spacing w:val="5"/>
    </w:rPr>
  </w:style>
  <w:style w:type="paragraph" w:styleId="NormalWeb">
    <w:name w:val="Normal (Web)"/>
    <w:basedOn w:val="Normal"/>
    <w:uiPriority w:val="99"/>
    <w:semiHidden/>
    <w:unhideWhenUsed/>
    <w:rsid w:val="00AD2EA0"/>
    <w:pPr>
      <w:spacing w:before="100" w:beforeAutospacing="1" w:after="100" w:afterAutospacing="1" w:line="240" w:lineRule="auto"/>
      <w:ind w:left="0" w:firstLine="0"/>
      <w:jc w:val="left"/>
    </w:pPr>
    <w:rPr>
      <w:rFonts w:ascii="Times New Roman" w:eastAsia="Times New Roman" w:hAnsi="Times New Roman" w:cs="Times New Roman"/>
      <w:kern w:val="0"/>
      <w:sz w:val="24"/>
      <w:szCs w:val="24"/>
      <w:lang w:eastAsia="en-IN" w:bidi="hi-IN"/>
    </w:rPr>
  </w:style>
  <w:style w:type="table" w:customStyle="1" w:styleId="GridTableLight">
    <w:name w:val="Grid Table Light"/>
    <w:basedOn w:val="TableNormal"/>
    <w:uiPriority w:val="40"/>
    <w:rsid w:val="00AD2EA0"/>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Grid">
    <w:name w:val="Table Grid"/>
    <w:basedOn w:val="TableNormal"/>
    <w:uiPriority w:val="39"/>
    <w:rsid w:val="00AD2EA0"/>
    <w:pPr>
      <w:spacing w:before="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07F54"/>
    <w:pPr>
      <w:tabs>
        <w:tab w:val="center" w:pos="4513"/>
        <w:tab w:val="right" w:pos="9026"/>
      </w:tabs>
      <w:spacing w:before="0" w:line="240" w:lineRule="auto"/>
    </w:pPr>
  </w:style>
  <w:style w:type="character" w:customStyle="1" w:styleId="HeaderChar">
    <w:name w:val="Header Char"/>
    <w:basedOn w:val="DefaultParagraphFont"/>
    <w:link w:val="Header"/>
    <w:uiPriority w:val="99"/>
    <w:rsid w:val="00E07F54"/>
  </w:style>
  <w:style w:type="paragraph" w:styleId="Footer">
    <w:name w:val="footer"/>
    <w:basedOn w:val="Normal"/>
    <w:link w:val="FooterChar"/>
    <w:uiPriority w:val="99"/>
    <w:unhideWhenUsed/>
    <w:rsid w:val="00E07F54"/>
    <w:pPr>
      <w:tabs>
        <w:tab w:val="center" w:pos="4513"/>
        <w:tab w:val="right" w:pos="9026"/>
      </w:tabs>
      <w:spacing w:before="0" w:line="240" w:lineRule="auto"/>
    </w:pPr>
  </w:style>
  <w:style w:type="character" w:customStyle="1" w:styleId="FooterChar">
    <w:name w:val="Footer Char"/>
    <w:basedOn w:val="DefaultParagraphFont"/>
    <w:link w:val="Footer"/>
    <w:uiPriority w:val="99"/>
    <w:rsid w:val="00E07F54"/>
  </w:style>
  <w:style w:type="character" w:styleId="CommentReference">
    <w:name w:val="annotation reference"/>
    <w:basedOn w:val="DefaultParagraphFont"/>
    <w:uiPriority w:val="99"/>
    <w:semiHidden/>
    <w:unhideWhenUsed/>
    <w:rsid w:val="00414C71"/>
    <w:rPr>
      <w:sz w:val="16"/>
      <w:szCs w:val="16"/>
    </w:rPr>
  </w:style>
  <w:style w:type="paragraph" w:styleId="CommentText">
    <w:name w:val="annotation text"/>
    <w:basedOn w:val="Normal"/>
    <w:link w:val="CommentTextChar"/>
    <w:uiPriority w:val="99"/>
    <w:semiHidden/>
    <w:unhideWhenUsed/>
    <w:rsid w:val="00414C71"/>
    <w:pPr>
      <w:spacing w:line="240" w:lineRule="auto"/>
    </w:pPr>
    <w:rPr>
      <w:sz w:val="20"/>
      <w:szCs w:val="20"/>
    </w:rPr>
  </w:style>
  <w:style w:type="character" w:customStyle="1" w:styleId="CommentTextChar">
    <w:name w:val="Comment Text Char"/>
    <w:basedOn w:val="DefaultParagraphFont"/>
    <w:link w:val="CommentText"/>
    <w:uiPriority w:val="99"/>
    <w:semiHidden/>
    <w:rsid w:val="00414C71"/>
    <w:rPr>
      <w:sz w:val="20"/>
      <w:szCs w:val="20"/>
    </w:rPr>
  </w:style>
  <w:style w:type="paragraph" w:styleId="CommentSubject">
    <w:name w:val="annotation subject"/>
    <w:basedOn w:val="CommentText"/>
    <w:next w:val="CommentText"/>
    <w:link w:val="CommentSubjectChar"/>
    <w:uiPriority w:val="99"/>
    <w:semiHidden/>
    <w:unhideWhenUsed/>
    <w:rsid w:val="00414C71"/>
    <w:rPr>
      <w:b/>
      <w:bCs/>
    </w:rPr>
  </w:style>
  <w:style w:type="character" w:customStyle="1" w:styleId="CommentSubjectChar">
    <w:name w:val="Comment Subject Char"/>
    <w:basedOn w:val="CommentTextChar"/>
    <w:link w:val="CommentSubject"/>
    <w:uiPriority w:val="99"/>
    <w:semiHidden/>
    <w:rsid w:val="00414C71"/>
    <w:rPr>
      <w:b/>
      <w:bCs/>
      <w:sz w:val="20"/>
      <w:szCs w:val="20"/>
    </w:rPr>
  </w:style>
  <w:style w:type="paragraph" w:styleId="BalloonText">
    <w:name w:val="Balloon Text"/>
    <w:basedOn w:val="Normal"/>
    <w:link w:val="BalloonTextChar"/>
    <w:uiPriority w:val="99"/>
    <w:semiHidden/>
    <w:unhideWhenUsed/>
    <w:rsid w:val="00E86379"/>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63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9BCB7-784D-4D85-BDEB-7125142FA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Ashish Singh</dc:creator>
  <cp:keywords/>
  <dc:description/>
  <cp:lastModifiedBy>DELL</cp:lastModifiedBy>
  <cp:revision>4</cp:revision>
  <dcterms:created xsi:type="dcterms:W3CDTF">2025-08-07T04:45:00Z</dcterms:created>
  <dcterms:modified xsi:type="dcterms:W3CDTF">2025-08-07T07:32:00Z</dcterms:modified>
</cp:coreProperties>
</file>