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2"/>
        <w:tblW w:w="5000" w:type="pct"/>
        <w:tblInd w:w="0" w:type="dxa"/>
        <w:tblLayout w:type="autofit"/>
        <w:tblCellMar>
          <w:top w:w="0" w:type="dxa"/>
          <w:left w:w="108" w:type="dxa"/>
          <w:bottom w:w="0" w:type="dxa"/>
          <w:right w:w="108" w:type="dxa"/>
        </w:tblCellMar>
      </w:tblPr>
      <w:tblGrid>
        <w:gridCol w:w="1241"/>
        <w:gridCol w:w="8721"/>
      </w:tblGrid>
      <w:tr w14:paraId="24C40D91">
        <w:tblPrEx>
          <w:tblCellMar>
            <w:top w:w="0" w:type="dxa"/>
            <w:left w:w="108" w:type="dxa"/>
            <w:bottom w:w="0" w:type="dxa"/>
            <w:right w:w="108" w:type="dxa"/>
          </w:tblCellMar>
        </w:tblPrEx>
        <w:trPr>
          <w:trHeight w:val="354" w:hRule="atLeast"/>
        </w:trPr>
        <w:tc>
          <w:tcPr>
            <w:tcW w:w="5000" w:type="pct"/>
            <w:gridSpan w:val="2"/>
            <w:tcBorders>
              <w:top w:val="nil"/>
              <w:left w:val="single" w:color="auto" w:sz="4" w:space="0"/>
              <w:bottom w:val="single" w:color="auto" w:sz="4" w:space="0"/>
              <w:right w:val="single" w:color="auto" w:sz="4" w:space="0"/>
            </w:tcBorders>
            <w:shd w:val="clear" w:color="000000" w:fill="94DCF8"/>
            <w:noWrap/>
            <w:vAlign w:val="top"/>
          </w:tcPr>
          <w:p w14:paraId="28C36735">
            <w:pPr>
              <w:spacing w:after="0" w:line="240" w:lineRule="auto"/>
              <w:jc w:val="right"/>
              <w:rPr>
                <w:rFonts w:hint="default" w:ascii="Times New Roman" w:hAnsi="Times New Roman" w:eastAsia="Times New Roman" w:cs="Times New Roman"/>
                <w:b/>
                <w:bCs/>
                <w:color w:val="000000"/>
                <w:kern w:val="0"/>
                <w:sz w:val="24"/>
                <w:szCs w:val="24"/>
                <w:lang w:eastAsia="en-IN" w:bidi="bn-BD"/>
                <w14:ligatures w14:val="none"/>
              </w:rPr>
            </w:pPr>
            <w:r>
              <w:rPr>
                <w:rFonts w:hint="default" w:ascii="Times New Roman" w:hAnsi="Times New Roman" w:eastAsia="Times New Roman" w:cs="Times New Roman"/>
                <w:b/>
                <w:bCs/>
                <w:color w:val="000000"/>
                <w:kern w:val="0"/>
                <w:sz w:val="24"/>
                <w:szCs w:val="24"/>
                <w:lang w:val="en-US" w:eastAsia="en-IN" w:bidi="bn-BD"/>
                <w14:ligatures w14:val="none"/>
              </w:rPr>
              <w:t>ANNEXURE-IX</w:t>
            </w:r>
            <w:r>
              <w:rPr>
                <w:rFonts w:hint="default" w:ascii="Times New Roman" w:hAnsi="Times New Roman" w:eastAsia="Times New Roman" w:cs="Times New Roman"/>
                <w:b/>
                <w:bCs/>
                <w:color w:val="000000"/>
                <w:kern w:val="0"/>
                <w:sz w:val="24"/>
                <w:szCs w:val="24"/>
                <w:lang w:eastAsia="en-IN" w:bidi="bn-BD"/>
                <w14:ligatures w14:val="none"/>
              </w:rPr>
              <w:t xml:space="preserve"> </w:t>
            </w:r>
          </w:p>
        </w:tc>
      </w:tr>
      <w:tr w14:paraId="163B3F65">
        <w:tblPrEx>
          <w:tblCellMar>
            <w:top w:w="0" w:type="dxa"/>
            <w:left w:w="108" w:type="dxa"/>
            <w:bottom w:w="0" w:type="dxa"/>
            <w:right w:w="108" w:type="dxa"/>
          </w:tblCellMar>
        </w:tblPrEx>
        <w:trPr>
          <w:trHeight w:val="310" w:hRule="atLeast"/>
        </w:trPr>
        <w:tc>
          <w:tcPr>
            <w:tcW w:w="5000" w:type="pct"/>
            <w:gridSpan w:val="2"/>
            <w:tcBorders>
              <w:top w:val="nil"/>
              <w:left w:val="single" w:color="auto" w:sz="4" w:space="0"/>
              <w:bottom w:val="single" w:color="auto" w:sz="4" w:space="0"/>
              <w:right w:val="single" w:color="auto" w:sz="4" w:space="0"/>
            </w:tcBorders>
            <w:shd w:val="clear" w:color="000000" w:fill="94DCF8"/>
            <w:noWrap/>
          </w:tcPr>
          <w:p w14:paraId="462906BB">
            <w:pPr>
              <w:spacing w:after="0" w:line="240" w:lineRule="auto"/>
              <w:jc w:val="center"/>
              <w:rPr>
                <w:rFonts w:hint="default" w:ascii="Times New Roman" w:hAnsi="Times New Roman" w:eastAsia="Times New Roman" w:cs="Times New Roman"/>
                <w:b/>
                <w:bCs/>
                <w:color w:val="000000"/>
                <w:kern w:val="0"/>
                <w:sz w:val="24"/>
                <w:szCs w:val="24"/>
                <w:lang w:eastAsia="en-IN" w:bidi="bn-BD"/>
                <w14:ligatures w14:val="none"/>
              </w:rPr>
            </w:pPr>
            <w:r>
              <w:rPr>
                <w:rFonts w:hint="default" w:ascii="Times New Roman" w:hAnsi="Times New Roman" w:eastAsia="Times New Roman"/>
                <w:b/>
                <w:bCs/>
                <w:color w:val="000000"/>
                <w:kern w:val="0"/>
                <w:sz w:val="24"/>
                <w:szCs w:val="24"/>
                <w:lang w:eastAsia="en-IN"/>
                <w14:ligatures w14:val="none"/>
              </w:rPr>
              <w:t xml:space="preserve">Comments of the Peer Reviewer on “ </w:t>
            </w:r>
            <w:r>
              <w:rPr>
                <w:rFonts w:hint="default" w:ascii="Times New Roman" w:hAnsi="Times New Roman" w:eastAsia="Times New Roman"/>
                <w:b/>
                <w:bCs/>
                <w:i/>
                <w:iCs/>
                <w:color w:val="000000"/>
                <w:kern w:val="0"/>
                <w:sz w:val="24"/>
                <w:szCs w:val="24"/>
                <w:u w:val="single"/>
                <w:lang w:eastAsia="en-IN"/>
                <w14:ligatures w14:val="none"/>
              </w:rPr>
              <w:t>Geological Report of Reconnaissance Survey (G-4) for Graphite in Dindo-Belkurta- Basera Graphite Block, District- Balrampur, Chhattisgarh</w:t>
            </w:r>
            <w:r>
              <w:rPr>
                <w:rFonts w:hint="default" w:ascii="Times New Roman" w:hAnsi="Times New Roman" w:eastAsia="Times New Roman"/>
                <w:b/>
                <w:bCs/>
                <w:color w:val="000000"/>
                <w:kern w:val="0"/>
                <w:sz w:val="24"/>
                <w:szCs w:val="24"/>
                <w:lang w:eastAsia="en-IN"/>
                <w14:ligatures w14:val="none"/>
              </w:rPr>
              <w:t>”</w:t>
            </w:r>
          </w:p>
        </w:tc>
      </w:tr>
      <w:tr w14:paraId="5CB18299">
        <w:tblPrEx>
          <w:tblCellMar>
            <w:top w:w="0" w:type="dxa"/>
            <w:left w:w="108" w:type="dxa"/>
            <w:bottom w:w="0" w:type="dxa"/>
            <w:right w:w="108" w:type="dxa"/>
          </w:tblCellMar>
        </w:tblPrEx>
        <w:trPr>
          <w:trHeight w:val="310" w:hRule="atLeast"/>
        </w:trPr>
        <w:tc>
          <w:tcPr>
            <w:tcW w:w="584" w:type="pct"/>
            <w:tcBorders>
              <w:top w:val="nil"/>
              <w:left w:val="single" w:color="auto" w:sz="4" w:space="0"/>
              <w:bottom w:val="single" w:color="auto" w:sz="4" w:space="0"/>
              <w:right w:val="single" w:color="auto" w:sz="4" w:space="0"/>
            </w:tcBorders>
            <w:shd w:val="clear" w:color="000000" w:fill="94DCF8"/>
            <w:noWrap/>
          </w:tcPr>
          <w:p w14:paraId="146F4ABE">
            <w:pPr>
              <w:spacing w:after="0" w:line="240" w:lineRule="auto"/>
              <w:jc w:val="center"/>
              <w:rPr>
                <w:rFonts w:hint="default" w:ascii="Times New Roman" w:hAnsi="Times New Roman" w:eastAsia="Times New Roman" w:cs="Times New Roman"/>
                <w:b/>
                <w:bCs/>
                <w:color w:val="000000"/>
                <w:kern w:val="0"/>
                <w:sz w:val="24"/>
                <w:szCs w:val="24"/>
                <w:lang w:eastAsia="en-IN" w:bidi="bn-BD"/>
                <w14:ligatures w14:val="none"/>
              </w:rPr>
            </w:pPr>
            <w:r>
              <w:rPr>
                <w:rFonts w:hint="default" w:ascii="Times New Roman" w:hAnsi="Times New Roman" w:eastAsia="Times New Roman" w:cs="Times New Roman"/>
                <w:b/>
                <w:bCs/>
                <w:color w:val="000000"/>
                <w:kern w:val="0"/>
                <w:sz w:val="24"/>
                <w:szCs w:val="24"/>
                <w:lang w:eastAsia="en-IN" w:bidi="bn-BD"/>
                <w14:ligatures w14:val="none"/>
              </w:rPr>
              <w:t>SL NO.</w:t>
            </w:r>
          </w:p>
        </w:tc>
        <w:tc>
          <w:tcPr>
            <w:tcW w:w="4415" w:type="pct"/>
            <w:tcBorders>
              <w:top w:val="nil"/>
              <w:left w:val="nil"/>
              <w:bottom w:val="single" w:color="auto" w:sz="4" w:space="0"/>
              <w:right w:val="single" w:color="auto" w:sz="4" w:space="0"/>
            </w:tcBorders>
            <w:shd w:val="clear" w:color="000000" w:fill="94DCF8"/>
            <w:noWrap/>
            <w:vAlign w:val="bottom"/>
          </w:tcPr>
          <w:p w14:paraId="77934BD3">
            <w:pPr>
              <w:spacing w:after="0" w:line="240" w:lineRule="auto"/>
              <w:jc w:val="center"/>
              <w:rPr>
                <w:rFonts w:hint="default" w:ascii="Times New Roman" w:hAnsi="Times New Roman" w:eastAsia="Times New Roman" w:cs="Times New Roman"/>
                <w:b/>
                <w:bCs/>
                <w:color w:val="000000"/>
                <w:kern w:val="0"/>
                <w:sz w:val="24"/>
                <w:szCs w:val="24"/>
                <w:lang w:eastAsia="en-IN" w:bidi="bn-BD"/>
                <w14:ligatures w14:val="none"/>
              </w:rPr>
            </w:pPr>
            <w:r>
              <w:rPr>
                <w:rFonts w:hint="default" w:ascii="Times New Roman" w:hAnsi="Times New Roman" w:eastAsia="Times New Roman" w:cs="Times New Roman"/>
                <w:b/>
                <w:bCs/>
                <w:color w:val="000000"/>
                <w:kern w:val="0"/>
                <w:sz w:val="24"/>
                <w:szCs w:val="24"/>
                <w:lang w:eastAsia="en-IN" w:bidi="bn-BD"/>
                <w14:ligatures w14:val="none"/>
              </w:rPr>
              <w:t>COMMENTS</w:t>
            </w:r>
          </w:p>
        </w:tc>
      </w:tr>
      <w:tr w14:paraId="4F74D55F">
        <w:tblPrEx>
          <w:tblCellMar>
            <w:top w:w="0" w:type="dxa"/>
            <w:left w:w="108" w:type="dxa"/>
            <w:bottom w:w="0" w:type="dxa"/>
            <w:right w:w="108" w:type="dxa"/>
          </w:tblCellMar>
        </w:tblPrEx>
        <w:trPr>
          <w:trHeight w:val="124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1049323F">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1</w:t>
            </w:r>
          </w:p>
        </w:tc>
        <w:tc>
          <w:tcPr>
            <w:tcW w:w="4415" w:type="pct"/>
            <w:tcBorders>
              <w:top w:val="nil"/>
              <w:left w:val="nil"/>
              <w:bottom w:val="single" w:color="auto" w:sz="4" w:space="0"/>
              <w:right w:val="single" w:color="auto" w:sz="4" w:space="0"/>
            </w:tcBorders>
            <w:shd w:val="clear" w:color="auto" w:fill="auto"/>
            <w:vAlign w:val="bottom"/>
          </w:tcPr>
          <w:p w14:paraId="631941B3">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In Plate No-l the name may be given as "Large Scale Geological Map of Dindo-Belkurta-Basera Graphite Block, Distt.- Balrampur, Chhattisgarh (Toposheet N0-64 M/5)". Name of the villages may be marked on the locations marked on the map.</w:t>
            </w:r>
          </w:p>
        </w:tc>
      </w:tr>
      <w:tr w14:paraId="7A956539">
        <w:tblPrEx>
          <w:tblCellMar>
            <w:top w:w="0" w:type="dxa"/>
            <w:left w:w="108" w:type="dxa"/>
            <w:bottom w:w="0" w:type="dxa"/>
            <w:right w:w="108" w:type="dxa"/>
          </w:tblCellMar>
        </w:tblPrEx>
        <w:trPr>
          <w:trHeight w:val="93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502A7926">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2</w:t>
            </w:r>
          </w:p>
        </w:tc>
        <w:tc>
          <w:tcPr>
            <w:tcW w:w="4415" w:type="pct"/>
            <w:tcBorders>
              <w:top w:val="nil"/>
              <w:left w:val="nil"/>
              <w:bottom w:val="single" w:color="auto" w:sz="4" w:space="0"/>
              <w:right w:val="single" w:color="auto" w:sz="4" w:space="0"/>
            </w:tcBorders>
            <w:shd w:val="clear" w:color="auto" w:fill="auto"/>
            <w:vAlign w:val="bottom"/>
          </w:tcPr>
          <w:p w14:paraId="08768644">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Font size of letters of dip of Foliations marked on all the Plates may be reduced and to be given near to the symbol which will give more clarity to the maps.</w:t>
            </w:r>
          </w:p>
        </w:tc>
      </w:tr>
      <w:tr w14:paraId="16FF5DD6">
        <w:tblPrEx>
          <w:tblCellMar>
            <w:top w:w="0" w:type="dxa"/>
            <w:left w:w="108" w:type="dxa"/>
            <w:bottom w:w="0" w:type="dxa"/>
            <w:right w:w="108" w:type="dxa"/>
          </w:tblCellMar>
        </w:tblPrEx>
        <w:trPr>
          <w:trHeight w:val="93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50592608">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3</w:t>
            </w:r>
          </w:p>
        </w:tc>
        <w:tc>
          <w:tcPr>
            <w:tcW w:w="4415" w:type="pct"/>
            <w:tcBorders>
              <w:top w:val="nil"/>
              <w:left w:val="nil"/>
              <w:bottom w:val="single" w:color="auto" w:sz="4" w:space="0"/>
              <w:right w:val="single" w:color="auto" w:sz="4" w:space="0"/>
            </w:tcBorders>
            <w:shd w:val="clear" w:color="auto" w:fill="auto"/>
            <w:vAlign w:val="bottom"/>
          </w:tcPr>
          <w:p w14:paraId="0714D129">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In Plate NO-II the Linear Scale of the Map is given and R: F is not given. The R: F on the map comes to be around (1: 5200) which is not proper scale. The map may be given on 1:5000 scale.</w:t>
            </w:r>
          </w:p>
        </w:tc>
      </w:tr>
      <w:tr w14:paraId="1D728121">
        <w:tblPrEx>
          <w:tblCellMar>
            <w:top w:w="0" w:type="dxa"/>
            <w:left w:w="108" w:type="dxa"/>
            <w:bottom w:w="0" w:type="dxa"/>
            <w:right w:w="108" w:type="dxa"/>
          </w:tblCellMar>
        </w:tblPrEx>
        <w:trPr>
          <w:trHeight w:val="217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5DBF9F60">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4</w:t>
            </w:r>
          </w:p>
        </w:tc>
        <w:tc>
          <w:tcPr>
            <w:tcW w:w="4415" w:type="pct"/>
            <w:tcBorders>
              <w:top w:val="nil"/>
              <w:left w:val="nil"/>
              <w:bottom w:val="single" w:color="auto" w:sz="4" w:space="0"/>
              <w:right w:val="single" w:color="auto" w:sz="4" w:space="0"/>
            </w:tcBorders>
            <w:shd w:val="clear" w:color="auto" w:fill="auto"/>
            <w:vAlign w:val="bottom"/>
          </w:tcPr>
          <w:p w14:paraId="1B520E67">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 xml:space="preserve"> Groove Line Numbers i. e. groove line N0-1, 2, 3, ---14 etc may be given near the locations of the groove lines marked on the maps. The Self Potential Anomaly Strip are marked on the maps without its number i.e. SP-1, 2, 3--13 along with the Potential zones i.e. T-1,2, 3---15. The same may be plotted on the map. In additions the 5 (Five) borehole locations may be marked on the map which will give more clarity in understanding the assumptions for resource estimations.</w:t>
            </w:r>
          </w:p>
        </w:tc>
      </w:tr>
      <w:tr w14:paraId="608FCF8A">
        <w:tblPrEx>
          <w:tblCellMar>
            <w:top w:w="0" w:type="dxa"/>
            <w:left w:w="108" w:type="dxa"/>
            <w:bottom w:w="0" w:type="dxa"/>
            <w:right w:w="108" w:type="dxa"/>
          </w:tblCellMar>
        </w:tblPrEx>
        <w:trPr>
          <w:trHeight w:val="124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4CD099EB">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5</w:t>
            </w:r>
          </w:p>
        </w:tc>
        <w:tc>
          <w:tcPr>
            <w:tcW w:w="4415" w:type="pct"/>
            <w:tcBorders>
              <w:top w:val="nil"/>
              <w:left w:val="nil"/>
              <w:bottom w:val="single" w:color="auto" w:sz="4" w:space="0"/>
              <w:right w:val="single" w:color="auto" w:sz="4" w:space="0"/>
            </w:tcBorders>
            <w:shd w:val="clear" w:color="auto" w:fill="auto"/>
            <w:vAlign w:val="bottom"/>
          </w:tcPr>
          <w:p w14:paraId="79AD986C">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In Plate NO-III the Bed Rock Sample (BRS) numbers are not marked on the map. The sample number may be given as BRS-1, 2,3.--150 near the location plotted on the map. In addition, the value of Fixed Carbon may be given in a Table.</w:t>
            </w:r>
          </w:p>
        </w:tc>
      </w:tr>
      <w:tr w14:paraId="1D39B5D7">
        <w:tblPrEx>
          <w:tblCellMar>
            <w:top w:w="0" w:type="dxa"/>
            <w:left w:w="108" w:type="dxa"/>
            <w:bottom w:w="0" w:type="dxa"/>
            <w:right w:w="108" w:type="dxa"/>
          </w:tblCellMar>
        </w:tblPrEx>
        <w:trPr>
          <w:trHeight w:val="124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0819C517">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6</w:t>
            </w:r>
          </w:p>
        </w:tc>
        <w:tc>
          <w:tcPr>
            <w:tcW w:w="4415" w:type="pct"/>
            <w:tcBorders>
              <w:top w:val="nil"/>
              <w:left w:val="nil"/>
              <w:bottom w:val="single" w:color="auto" w:sz="4" w:space="0"/>
              <w:right w:val="single" w:color="auto" w:sz="4" w:space="0"/>
            </w:tcBorders>
            <w:shd w:val="clear" w:color="auto" w:fill="auto"/>
            <w:vAlign w:val="bottom"/>
          </w:tcPr>
          <w:p w14:paraId="5FAAC2AB">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In Plate NO IV the linear scale on the map is given and the RF (Scale) is not given which is around 1:5000 the same may be marked (given) on the map Fixed carbon values may be given along with sample number on the map</w:t>
            </w:r>
          </w:p>
        </w:tc>
      </w:tr>
      <w:tr w14:paraId="67838B73">
        <w:tblPrEx>
          <w:tblCellMar>
            <w:top w:w="0" w:type="dxa"/>
            <w:left w:w="108" w:type="dxa"/>
            <w:bottom w:w="0" w:type="dxa"/>
            <w:right w:w="108" w:type="dxa"/>
          </w:tblCellMar>
        </w:tblPrEx>
        <w:trPr>
          <w:trHeight w:val="93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4A01B5CC">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7</w:t>
            </w:r>
          </w:p>
        </w:tc>
        <w:tc>
          <w:tcPr>
            <w:tcW w:w="4415" w:type="pct"/>
            <w:tcBorders>
              <w:top w:val="nil"/>
              <w:left w:val="nil"/>
              <w:bottom w:val="single" w:color="auto" w:sz="4" w:space="0"/>
              <w:right w:val="single" w:color="auto" w:sz="4" w:space="0"/>
            </w:tcBorders>
            <w:shd w:val="clear" w:color="auto" w:fill="auto"/>
            <w:vAlign w:val="bottom"/>
          </w:tcPr>
          <w:p w14:paraId="3EA831E5">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In Plate NO-V the groove line number may be given on locations plotted on the map. RF (Scale) may be given along with Linear scale which is 1:5000</w:t>
            </w:r>
          </w:p>
        </w:tc>
      </w:tr>
      <w:tr w14:paraId="285D662C">
        <w:tblPrEx>
          <w:tblCellMar>
            <w:top w:w="0" w:type="dxa"/>
            <w:left w:w="108" w:type="dxa"/>
            <w:bottom w:w="0" w:type="dxa"/>
            <w:right w:w="108" w:type="dxa"/>
          </w:tblCellMar>
        </w:tblPrEx>
        <w:trPr>
          <w:trHeight w:val="124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3C89A1BB">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8</w:t>
            </w:r>
          </w:p>
        </w:tc>
        <w:tc>
          <w:tcPr>
            <w:tcW w:w="4415" w:type="pct"/>
            <w:tcBorders>
              <w:top w:val="nil"/>
              <w:left w:val="nil"/>
              <w:bottom w:val="single" w:color="auto" w:sz="4" w:space="0"/>
              <w:right w:val="single" w:color="auto" w:sz="4" w:space="0"/>
            </w:tcBorders>
            <w:shd w:val="clear" w:color="auto" w:fill="auto"/>
            <w:vAlign w:val="bottom"/>
          </w:tcPr>
          <w:p w14:paraId="070E4C71">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In Plate NO-VI both Linear and R. F scales are not given, the same may be given In addition to above the borehole locations is plotted but the borehole numbers are not given on the map. The same may be marked along with bore hole locations.</w:t>
            </w:r>
          </w:p>
        </w:tc>
      </w:tr>
      <w:tr w14:paraId="32CD55E9">
        <w:tblPrEx>
          <w:tblCellMar>
            <w:top w:w="0" w:type="dxa"/>
            <w:left w:w="108" w:type="dxa"/>
            <w:bottom w:w="0" w:type="dxa"/>
            <w:right w:w="108" w:type="dxa"/>
          </w:tblCellMar>
        </w:tblPrEx>
        <w:trPr>
          <w:trHeight w:val="124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22256F44">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9</w:t>
            </w:r>
          </w:p>
        </w:tc>
        <w:tc>
          <w:tcPr>
            <w:tcW w:w="4415" w:type="pct"/>
            <w:tcBorders>
              <w:top w:val="nil"/>
              <w:left w:val="nil"/>
              <w:bottom w:val="single" w:color="auto" w:sz="4" w:space="0"/>
              <w:right w:val="single" w:color="auto" w:sz="4" w:space="0"/>
            </w:tcBorders>
            <w:shd w:val="clear" w:color="auto" w:fill="auto"/>
            <w:vAlign w:val="bottom"/>
          </w:tcPr>
          <w:p w14:paraId="112A4FE9">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The Block Location map is not given on proper scale as nothing is clear from the given Text Figure The Village Location, Infrastructure, forest etc are not visible on the map. Hence it is suggested that the location map of the area may be provided as Plate NO-Ion 1:50000 or 1:25000 scale</w:t>
            </w:r>
          </w:p>
        </w:tc>
      </w:tr>
      <w:tr w14:paraId="216D7EB6">
        <w:tblPrEx>
          <w:tblCellMar>
            <w:top w:w="0" w:type="dxa"/>
            <w:left w:w="108" w:type="dxa"/>
            <w:bottom w:w="0" w:type="dxa"/>
            <w:right w:w="108" w:type="dxa"/>
          </w:tblCellMar>
        </w:tblPrEx>
        <w:trPr>
          <w:trHeight w:val="124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0A65A26A">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10</w:t>
            </w:r>
          </w:p>
        </w:tc>
        <w:tc>
          <w:tcPr>
            <w:tcW w:w="4415" w:type="pct"/>
            <w:tcBorders>
              <w:top w:val="nil"/>
              <w:left w:val="nil"/>
              <w:bottom w:val="single" w:color="auto" w:sz="4" w:space="0"/>
              <w:right w:val="single" w:color="auto" w:sz="4" w:space="0"/>
            </w:tcBorders>
            <w:shd w:val="clear" w:color="auto" w:fill="auto"/>
            <w:vAlign w:val="bottom"/>
          </w:tcPr>
          <w:p w14:paraId="78147D05">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The average bulk density of 2.55 calculated from 4 (four) number of samples from host rock has been considered for estimation of Graphite resources which seams slightly to be on higher side. Generally bulk density of graphite is considered from 2.1 to 2.25.</w:t>
            </w:r>
          </w:p>
        </w:tc>
      </w:tr>
      <w:tr w14:paraId="26D55E3B">
        <w:tblPrEx>
          <w:tblCellMar>
            <w:top w:w="0" w:type="dxa"/>
            <w:left w:w="108" w:type="dxa"/>
            <w:bottom w:w="0" w:type="dxa"/>
            <w:right w:w="108" w:type="dxa"/>
          </w:tblCellMar>
        </w:tblPrEx>
        <w:trPr>
          <w:trHeight w:val="186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00A2CECF">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11</w:t>
            </w:r>
          </w:p>
        </w:tc>
        <w:tc>
          <w:tcPr>
            <w:tcW w:w="4415" w:type="pct"/>
            <w:tcBorders>
              <w:top w:val="nil"/>
              <w:left w:val="nil"/>
              <w:bottom w:val="single" w:color="auto" w:sz="4" w:space="0"/>
              <w:right w:val="single" w:color="auto" w:sz="4" w:space="0"/>
            </w:tcBorders>
            <w:shd w:val="clear" w:color="auto" w:fill="auto"/>
            <w:vAlign w:val="bottom"/>
          </w:tcPr>
          <w:p w14:paraId="00E481A4">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The drilling work commenced in the block on 25/09/2024 and completed on 12/10/2024 but the borehole commenced on 25/09/2024 is numbered as DBCD-04 and the Borehole No. DBCD-01 (First borehole) was commenced on 04/10/2024. The reason for not following the SL. Number of boreholes as per date of commencement of drilling i.e. 25/09/2024 may be explained.</w:t>
            </w:r>
          </w:p>
        </w:tc>
      </w:tr>
      <w:tr w14:paraId="106B0943">
        <w:tblPrEx>
          <w:tblCellMar>
            <w:top w:w="0" w:type="dxa"/>
            <w:left w:w="108" w:type="dxa"/>
            <w:bottom w:w="0" w:type="dxa"/>
            <w:right w:w="108" w:type="dxa"/>
          </w:tblCellMar>
        </w:tblPrEx>
        <w:trPr>
          <w:trHeight w:val="93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628CCEE1">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12</w:t>
            </w:r>
          </w:p>
        </w:tc>
        <w:tc>
          <w:tcPr>
            <w:tcW w:w="4415" w:type="pct"/>
            <w:tcBorders>
              <w:top w:val="nil"/>
              <w:left w:val="nil"/>
              <w:bottom w:val="single" w:color="auto" w:sz="4" w:space="0"/>
              <w:right w:val="single" w:color="auto" w:sz="4" w:space="0"/>
            </w:tcBorders>
            <w:shd w:val="clear" w:color="auto" w:fill="auto"/>
            <w:vAlign w:val="bottom"/>
          </w:tcPr>
          <w:p w14:paraId="4EE97896">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The Annexure-IX (Showing the analytical Results of 30 Check samples as shown in the contents is not attached in the report. The same may be enclosed as Annexure-VII in the Report.</w:t>
            </w:r>
          </w:p>
        </w:tc>
      </w:tr>
      <w:tr w14:paraId="68168893">
        <w:tblPrEx>
          <w:tblCellMar>
            <w:top w:w="0" w:type="dxa"/>
            <w:left w:w="108" w:type="dxa"/>
            <w:bottom w:w="0" w:type="dxa"/>
            <w:right w:w="108" w:type="dxa"/>
          </w:tblCellMar>
        </w:tblPrEx>
        <w:trPr>
          <w:trHeight w:val="155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754EFF84">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13</w:t>
            </w:r>
          </w:p>
        </w:tc>
        <w:tc>
          <w:tcPr>
            <w:tcW w:w="4415" w:type="pct"/>
            <w:tcBorders>
              <w:top w:val="nil"/>
              <w:left w:val="nil"/>
              <w:bottom w:val="single" w:color="auto" w:sz="4" w:space="0"/>
              <w:right w:val="single" w:color="auto" w:sz="4" w:space="0"/>
            </w:tcBorders>
            <w:shd w:val="clear" w:color="auto" w:fill="auto"/>
            <w:vAlign w:val="bottom"/>
          </w:tcPr>
          <w:p w14:paraId="72AD6349">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One additional Plate (Plate NO-VII) for Geological Cross Sections of 5 Boreholes drilled by Maheshwari Mining Private Limited in Dindo-Belkurta-Basera Block, District-Balrampur. Chhattisgarh on proper scale ie 1:1000 or 1:500 scale showing intersections of Mineralised zones and other details may be provided.</w:t>
            </w:r>
          </w:p>
        </w:tc>
      </w:tr>
      <w:tr w14:paraId="559AD576">
        <w:tblPrEx>
          <w:tblCellMar>
            <w:top w:w="0" w:type="dxa"/>
            <w:left w:w="108" w:type="dxa"/>
            <w:bottom w:w="0" w:type="dxa"/>
            <w:right w:w="108" w:type="dxa"/>
          </w:tblCellMar>
        </w:tblPrEx>
        <w:trPr>
          <w:trHeight w:val="31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438261BF">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14</w:t>
            </w:r>
          </w:p>
        </w:tc>
        <w:tc>
          <w:tcPr>
            <w:tcW w:w="4415" w:type="pct"/>
            <w:tcBorders>
              <w:top w:val="nil"/>
              <w:left w:val="nil"/>
              <w:bottom w:val="single" w:color="auto" w:sz="4" w:space="0"/>
              <w:right w:val="single" w:color="auto" w:sz="4" w:space="0"/>
            </w:tcBorders>
            <w:shd w:val="clear" w:color="auto" w:fill="auto"/>
            <w:vAlign w:val="bottom"/>
          </w:tcPr>
          <w:p w14:paraId="7BECA25E">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The List of Annexure may be given as per details given below:-</w:t>
            </w:r>
          </w:p>
        </w:tc>
      </w:tr>
      <w:tr w14:paraId="1C47E280">
        <w:tblPrEx>
          <w:tblCellMar>
            <w:top w:w="0" w:type="dxa"/>
            <w:left w:w="108" w:type="dxa"/>
            <w:bottom w:w="0" w:type="dxa"/>
            <w:right w:w="108" w:type="dxa"/>
          </w:tblCellMar>
        </w:tblPrEx>
        <w:trPr>
          <w:trHeight w:val="124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2FFBF4DF">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A)</w:t>
            </w:r>
          </w:p>
        </w:tc>
        <w:tc>
          <w:tcPr>
            <w:tcW w:w="4415" w:type="pct"/>
            <w:tcBorders>
              <w:top w:val="nil"/>
              <w:left w:val="nil"/>
              <w:bottom w:val="single" w:color="auto" w:sz="4" w:space="0"/>
              <w:right w:val="single" w:color="auto" w:sz="4" w:space="0"/>
            </w:tcBorders>
            <w:shd w:val="clear" w:color="auto" w:fill="auto"/>
            <w:vAlign w:val="bottom"/>
          </w:tcPr>
          <w:p w14:paraId="39C2569B">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Annexure-- "Details of Boreholes Drilled by Maheshwari Mining Private Ltd for Graphite Exploration in Dindo-Belkurta-Basera Block, District- Balrampur, Chhattisgarh" may be provided giving details of Boreholes drilled as per table given below:-</w:t>
            </w:r>
          </w:p>
          <w:tbl>
            <w:tblPr>
              <w:tblStyle w:val="1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3"/>
              <w:gridCol w:w="1098"/>
              <w:gridCol w:w="1792"/>
              <w:gridCol w:w="965"/>
              <w:gridCol w:w="897"/>
              <w:gridCol w:w="1098"/>
              <w:gridCol w:w="1084"/>
              <w:gridCol w:w="938"/>
            </w:tblGrid>
            <w:tr w14:paraId="66E99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trPr>
              <w:tc>
                <w:tcPr>
                  <w:tcW w:w="367" w:type="pct"/>
                  <w:vMerge w:val="restart"/>
                </w:tcPr>
                <w:p w14:paraId="62184BD2">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SL NO.</w:t>
                  </w:r>
                </w:p>
              </w:tc>
              <w:tc>
                <w:tcPr>
                  <w:tcW w:w="646" w:type="pct"/>
                  <w:vMerge w:val="restart"/>
                </w:tcPr>
                <w:p w14:paraId="5921AE33">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Borehole Number</w:t>
                  </w:r>
                </w:p>
              </w:tc>
              <w:tc>
                <w:tcPr>
                  <w:tcW w:w="1055" w:type="pct"/>
                  <w:vMerge w:val="restart"/>
                </w:tcPr>
                <w:p w14:paraId="7C24BE7A">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Date of Commencement</w:t>
                  </w:r>
                </w:p>
              </w:tc>
              <w:tc>
                <w:tcPr>
                  <w:tcW w:w="568" w:type="pct"/>
                  <w:vMerge w:val="restart"/>
                </w:tcPr>
                <w:p w14:paraId="28AC5A5D">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Date of Closure</w:t>
                  </w:r>
                </w:p>
              </w:tc>
              <w:tc>
                <w:tcPr>
                  <w:tcW w:w="528" w:type="pct"/>
                  <w:vMerge w:val="restart"/>
                </w:tcPr>
                <w:p w14:paraId="37F96A17">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Total Depth Drilled</w:t>
                  </w:r>
                </w:p>
                <w:p w14:paraId="771367FD">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(m)</w:t>
                  </w:r>
                </w:p>
              </w:tc>
              <w:tc>
                <w:tcPr>
                  <w:tcW w:w="646" w:type="pct"/>
                  <w:vMerge w:val="restart"/>
                </w:tcPr>
                <w:p w14:paraId="3E895CAE">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Reduced  Level of Borehole at Collar (m)</w:t>
                  </w:r>
                </w:p>
              </w:tc>
              <w:tc>
                <w:tcPr>
                  <w:tcW w:w="1190" w:type="pct"/>
                  <w:gridSpan w:val="2"/>
                </w:tcPr>
                <w:p w14:paraId="36B55E25">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Co Ordinates of Boreholes</w:t>
                  </w:r>
                </w:p>
              </w:tc>
            </w:tr>
            <w:tr w14:paraId="11797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 w:hRule="atLeast"/>
              </w:trPr>
              <w:tc>
                <w:tcPr>
                  <w:tcW w:w="367" w:type="pct"/>
                  <w:vMerge w:val="continue"/>
                </w:tcPr>
                <w:p w14:paraId="4F8E9D57">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646" w:type="pct"/>
                  <w:vMerge w:val="continue"/>
                </w:tcPr>
                <w:p w14:paraId="2D36E5ED">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1055" w:type="pct"/>
                  <w:vMerge w:val="continue"/>
                </w:tcPr>
                <w:p w14:paraId="2E1F8E57">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568" w:type="pct"/>
                  <w:vMerge w:val="continue"/>
                </w:tcPr>
                <w:p w14:paraId="0BA45FE6">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528" w:type="pct"/>
                  <w:vMerge w:val="continue"/>
                </w:tcPr>
                <w:p w14:paraId="3BFFA830">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646" w:type="pct"/>
                  <w:vMerge w:val="continue"/>
                </w:tcPr>
                <w:p w14:paraId="59E404AA">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638" w:type="pct"/>
                </w:tcPr>
                <w:p w14:paraId="1B93D5B0">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Northing</w:t>
                  </w:r>
                </w:p>
              </w:tc>
              <w:tc>
                <w:tcPr>
                  <w:tcW w:w="552" w:type="pct"/>
                </w:tcPr>
                <w:p w14:paraId="6C84B2C7">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Easting</w:t>
                  </w:r>
                </w:p>
              </w:tc>
            </w:tr>
            <w:tr w14:paraId="20DCA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7" w:type="pct"/>
                </w:tcPr>
                <w:p w14:paraId="295D31A6">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646" w:type="pct"/>
                </w:tcPr>
                <w:p w14:paraId="77466EA4">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1055" w:type="pct"/>
                </w:tcPr>
                <w:p w14:paraId="640F7267">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568" w:type="pct"/>
                </w:tcPr>
                <w:p w14:paraId="3FA4B7C1">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528" w:type="pct"/>
                </w:tcPr>
                <w:p w14:paraId="2D2A34E4">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646" w:type="pct"/>
                </w:tcPr>
                <w:p w14:paraId="473BD722">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638" w:type="pct"/>
                </w:tcPr>
                <w:p w14:paraId="5DB9180E">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c>
                <w:tcPr>
                  <w:tcW w:w="552" w:type="pct"/>
                </w:tcPr>
                <w:p w14:paraId="417182CB">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p>
              </w:tc>
            </w:tr>
          </w:tbl>
          <w:p w14:paraId="6FEDE327">
            <w:pPr>
              <w:spacing w:after="0" w:line="240" w:lineRule="auto"/>
              <w:rPr>
                <w:rFonts w:hint="default" w:ascii="Times New Roman" w:hAnsi="Times New Roman" w:eastAsia="Times New Roman" w:cs="Times New Roman"/>
                <w:color w:val="000000"/>
                <w:kern w:val="0"/>
                <w:sz w:val="24"/>
                <w:szCs w:val="24"/>
                <w:lang w:eastAsia="en-IN" w:bidi="bn-BD"/>
                <w14:ligatures w14:val="none"/>
              </w:rPr>
            </w:pPr>
          </w:p>
        </w:tc>
      </w:tr>
      <w:tr w14:paraId="1B9A8889">
        <w:tblPrEx>
          <w:tblCellMar>
            <w:top w:w="0" w:type="dxa"/>
            <w:left w:w="108" w:type="dxa"/>
            <w:bottom w:w="0" w:type="dxa"/>
            <w:right w:w="108" w:type="dxa"/>
          </w:tblCellMar>
        </w:tblPrEx>
        <w:trPr>
          <w:trHeight w:val="93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0CC90831">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B)</w:t>
            </w:r>
          </w:p>
        </w:tc>
        <w:tc>
          <w:tcPr>
            <w:tcW w:w="4415" w:type="pct"/>
            <w:tcBorders>
              <w:top w:val="nil"/>
              <w:left w:val="nil"/>
              <w:bottom w:val="single" w:color="auto" w:sz="4" w:space="0"/>
              <w:right w:val="single" w:color="auto" w:sz="4" w:space="0"/>
            </w:tcBorders>
            <w:shd w:val="clear" w:color="auto" w:fill="auto"/>
            <w:vAlign w:val="bottom"/>
          </w:tcPr>
          <w:p w14:paraId="174C026A">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Annexure-II- Details of Run wise Litholog of Boreholes (all the 5 boreholes) drilled by Maheshwari Mining Private Limited in Dindo-Belkurta-Basera Block, District-Balrampur, Chhattisgarh,</w:t>
            </w:r>
          </w:p>
        </w:tc>
      </w:tr>
      <w:tr w14:paraId="3E2A1961">
        <w:tblPrEx>
          <w:tblCellMar>
            <w:top w:w="0" w:type="dxa"/>
            <w:left w:w="108" w:type="dxa"/>
            <w:bottom w:w="0" w:type="dxa"/>
            <w:right w:w="108" w:type="dxa"/>
          </w:tblCellMar>
        </w:tblPrEx>
        <w:trPr>
          <w:trHeight w:val="93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1274BCF3">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C)</w:t>
            </w:r>
          </w:p>
        </w:tc>
        <w:tc>
          <w:tcPr>
            <w:tcW w:w="4415" w:type="pct"/>
            <w:tcBorders>
              <w:top w:val="nil"/>
              <w:left w:val="nil"/>
              <w:bottom w:val="single" w:color="auto" w:sz="4" w:space="0"/>
              <w:right w:val="single" w:color="auto" w:sz="4" w:space="0"/>
            </w:tcBorders>
            <w:shd w:val="clear" w:color="auto" w:fill="auto"/>
            <w:vAlign w:val="bottom"/>
          </w:tcPr>
          <w:p w14:paraId="23816D34">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Annexure-III- Details of Analytical Results (Proximate Analysis) of Bed Rock Samples (BRS) collected by M/s Maheshwari Mining Private Limited in Dindo-Belkurta-Basera Block District-Balrampur, Chhattisgarh</w:t>
            </w:r>
          </w:p>
        </w:tc>
      </w:tr>
      <w:tr w14:paraId="24659312">
        <w:tblPrEx>
          <w:tblCellMar>
            <w:top w:w="0" w:type="dxa"/>
            <w:left w:w="108" w:type="dxa"/>
            <w:bottom w:w="0" w:type="dxa"/>
            <w:right w:w="108" w:type="dxa"/>
          </w:tblCellMar>
        </w:tblPrEx>
        <w:trPr>
          <w:trHeight w:val="93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701C7DB2">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D)</w:t>
            </w:r>
          </w:p>
        </w:tc>
        <w:tc>
          <w:tcPr>
            <w:tcW w:w="4415" w:type="pct"/>
            <w:tcBorders>
              <w:top w:val="nil"/>
              <w:left w:val="nil"/>
              <w:bottom w:val="single" w:color="auto" w:sz="4" w:space="0"/>
              <w:right w:val="single" w:color="auto" w:sz="4" w:space="0"/>
            </w:tcBorders>
            <w:shd w:val="clear" w:color="auto" w:fill="auto"/>
            <w:vAlign w:val="bottom"/>
          </w:tcPr>
          <w:p w14:paraId="100EFF3E">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Annexure-IV - Details of Analytical Results (Proximate Analysis) of Drill Core Samples collected by M/s Maheshwari Mining Private Limited in Dindo-Belkurta-Basera Block, District- Balrampur, Chhattisgarh</w:t>
            </w:r>
          </w:p>
        </w:tc>
      </w:tr>
      <w:tr w14:paraId="59521F42">
        <w:tblPrEx>
          <w:tblCellMar>
            <w:top w:w="0" w:type="dxa"/>
            <w:left w:w="108" w:type="dxa"/>
            <w:bottom w:w="0" w:type="dxa"/>
            <w:right w:w="108" w:type="dxa"/>
          </w:tblCellMar>
        </w:tblPrEx>
        <w:trPr>
          <w:trHeight w:val="124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67C7E597">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E)</w:t>
            </w:r>
          </w:p>
        </w:tc>
        <w:tc>
          <w:tcPr>
            <w:tcW w:w="4415" w:type="pct"/>
            <w:tcBorders>
              <w:top w:val="nil"/>
              <w:left w:val="nil"/>
              <w:bottom w:val="single" w:color="auto" w:sz="4" w:space="0"/>
              <w:right w:val="single" w:color="auto" w:sz="4" w:space="0"/>
            </w:tcBorders>
            <w:shd w:val="clear" w:color="auto" w:fill="auto"/>
            <w:vAlign w:val="bottom"/>
          </w:tcPr>
          <w:p w14:paraId="7ABFB9B4">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Annexure-V - Details of Analytical Results of Major Oxides of Bed Rock &amp; Drill Core Samples collected by M/s Maheshwari Mining Private Limited in Dindo-Belkurta-Basera Block, District-Balrampur, Chhattisgarh.</w:t>
            </w:r>
          </w:p>
        </w:tc>
      </w:tr>
      <w:tr w14:paraId="5E4EA0E1">
        <w:tblPrEx>
          <w:tblCellMar>
            <w:top w:w="0" w:type="dxa"/>
            <w:left w:w="108" w:type="dxa"/>
            <w:bottom w:w="0" w:type="dxa"/>
            <w:right w:w="108" w:type="dxa"/>
          </w:tblCellMar>
        </w:tblPrEx>
        <w:trPr>
          <w:trHeight w:val="124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3E861BDD">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bookmarkStart w:id="0" w:name="_GoBack"/>
            <w:bookmarkEnd w:id="0"/>
            <w:r>
              <w:rPr>
                <w:rFonts w:hint="default" w:ascii="Times New Roman" w:hAnsi="Times New Roman" w:eastAsia="Times New Roman" w:cs="Times New Roman"/>
                <w:color w:val="000000"/>
                <w:kern w:val="0"/>
                <w:sz w:val="24"/>
                <w:szCs w:val="24"/>
                <w:lang w:eastAsia="en-IN" w:bidi="bn-BD"/>
                <w14:ligatures w14:val="none"/>
              </w:rPr>
              <w:t>F)</w:t>
            </w:r>
          </w:p>
        </w:tc>
        <w:tc>
          <w:tcPr>
            <w:tcW w:w="4415" w:type="pct"/>
            <w:tcBorders>
              <w:top w:val="nil"/>
              <w:left w:val="nil"/>
              <w:bottom w:val="single" w:color="auto" w:sz="4" w:space="0"/>
              <w:right w:val="single" w:color="auto" w:sz="4" w:space="0"/>
            </w:tcBorders>
            <w:shd w:val="clear" w:color="auto" w:fill="auto"/>
            <w:vAlign w:val="bottom"/>
          </w:tcPr>
          <w:p w14:paraId="39E7D4E9">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Annexure-VI-Details of Analytical Results of Minor Elements of Bed Rock &amp; Drill Core Samples collected by Mis Maheshwari Mining Private Limited in Dindo-Belkurta-Basera Block, District-Balrampur, Chhattisgarh.</w:t>
            </w:r>
          </w:p>
        </w:tc>
      </w:tr>
      <w:tr w14:paraId="0FC996CB">
        <w:tblPrEx>
          <w:tblCellMar>
            <w:top w:w="0" w:type="dxa"/>
            <w:left w:w="108" w:type="dxa"/>
            <w:bottom w:w="0" w:type="dxa"/>
            <w:right w:w="108" w:type="dxa"/>
          </w:tblCellMar>
        </w:tblPrEx>
        <w:trPr>
          <w:trHeight w:val="124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097EC48A">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G)</w:t>
            </w:r>
          </w:p>
        </w:tc>
        <w:tc>
          <w:tcPr>
            <w:tcW w:w="4415" w:type="pct"/>
            <w:tcBorders>
              <w:top w:val="nil"/>
              <w:left w:val="nil"/>
              <w:bottom w:val="single" w:color="auto" w:sz="4" w:space="0"/>
              <w:right w:val="single" w:color="auto" w:sz="4" w:space="0"/>
            </w:tcBorders>
            <w:shd w:val="clear" w:color="auto" w:fill="auto"/>
            <w:vAlign w:val="bottom"/>
          </w:tcPr>
          <w:p w14:paraId="5F468BB7">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Annexure-VII-Details of Analytical Results of 30 NO of Check samples from Bed Rock &amp; Drill Core Samples collected by M/s Maheshwari Mining Private Limited in Dindo-Belkurta- Basera Block, District-Balrampur, Chhattisgarh.</w:t>
            </w:r>
          </w:p>
        </w:tc>
      </w:tr>
      <w:tr w14:paraId="669F5017">
        <w:tblPrEx>
          <w:tblCellMar>
            <w:top w:w="0" w:type="dxa"/>
            <w:left w:w="108" w:type="dxa"/>
            <w:bottom w:w="0" w:type="dxa"/>
            <w:right w:w="108" w:type="dxa"/>
          </w:tblCellMar>
        </w:tblPrEx>
        <w:trPr>
          <w:trHeight w:val="124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43AAACE2">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H)</w:t>
            </w:r>
          </w:p>
        </w:tc>
        <w:tc>
          <w:tcPr>
            <w:tcW w:w="4415" w:type="pct"/>
            <w:tcBorders>
              <w:top w:val="nil"/>
              <w:left w:val="nil"/>
              <w:bottom w:val="single" w:color="auto" w:sz="4" w:space="0"/>
              <w:right w:val="single" w:color="auto" w:sz="4" w:space="0"/>
            </w:tcBorders>
            <w:shd w:val="clear" w:color="auto" w:fill="auto"/>
            <w:vAlign w:val="bottom"/>
          </w:tcPr>
          <w:p w14:paraId="05B72A5B">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Annexure-VIII: Details of Mineralised Zones (Graphite Mineralisation) intersected in 5 Boreholes Drilled and in Groove samples collected by M/s Maheshwari Mining Private Limited in Dindo-Belkurta- Basera Block, District- Balrampur, Chhattisgarh may be provided.</w:t>
            </w:r>
          </w:p>
        </w:tc>
      </w:tr>
      <w:tr w14:paraId="12BFD703">
        <w:tblPrEx>
          <w:tblCellMar>
            <w:top w:w="0" w:type="dxa"/>
            <w:left w:w="108" w:type="dxa"/>
            <w:bottom w:w="0" w:type="dxa"/>
            <w:right w:w="108" w:type="dxa"/>
          </w:tblCellMar>
        </w:tblPrEx>
        <w:trPr>
          <w:trHeight w:val="930" w:hRule="atLeast"/>
        </w:trPr>
        <w:tc>
          <w:tcPr>
            <w:tcW w:w="584" w:type="pct"/>
            <w:tcBorders>
              <w:top w:val="nil"/>
              <w:left w:val="single" w:color="auto" w:sz="4" w:space="0"/>
              <w:bottom w:val="single" w:color="auto" w:sz="4" w:space="0"/>
              <w:right w:val="single" w:color="auto" w:sz="4" w:space="0"/>
            </w:tcBorders>
            <w:shd w:val="clear" w:color="auto" w:fill="auto"/>
            <w:noWrap/>
            <w:vAlign w:val="center"/>
          </w:tcPr>
          <w:p w14:paraId="08D06D5B">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I)</w:t>
            </w:r>
          </w:p>
        </w:tc>
        <w:tc>
          <w:tcPr>
            <w:tcW w:w="4415" w:type="pct"/>
            <w:tcBorders>
              <w:top w:val="nil"/>
              <w:left w:val="nil"/>
              <w:bottom w:val="single" w:color="auto" w:sz="4" w:space="0"/>
              <w:right w:val="single" w:color="auto" w:sz="4" w:space="0"/>
            </w:tcBorders>
            <w:shd w:val="clear" w:color="auto" w:fill="auto"/>
            <w:vAlign w:val="bottom"/>
          </w:tcPr>
          <w:p w14:paraId="3EFFFE38">
            <w:pPr>
              <w:spacing w:after="0" w:line="240" w:lineRule="auto"/>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Annexure- IX: Comments of the Peer Reviewer on "Geological Report of Reconnaissance Survey (G-4) for Graphite in Dindo-Belkurta-Basera Graphite Block, District-Balrampur, Chhattisgarh" may be provided.</w:t>
            </w:r>
          </w:p>
        </w:tc>
      </w:tr>
      <w:tr w14:paraId="72EDDE63">
        <w:tblPrEx>
          <w:tblCellMar>
            <w:top w:w="0" w:type="dxa"/>
            <w:left w:w="108" w:type="dxa"/>
            <w:bottom w:w="0" w:type="dxa"/>
            <w:right w:w="108" w:type="dxa"/>
          </w:tblCellMar>
        </w:tblPrEx>
        <w:trPr>
          <w:trHeight w:val="930" w:hRule="atLeast"/>
        </w:trPr>
        <w:tc>
          <w:tcPr>
            <w:tcW w:w="584" w:type="pct"/>
            <w:tcBorders>
              <w:top w:val="single" w:color="auto" w:sz="4" w:space="0"/>
              <w:left w:val="single" w:color="auto" w:sz="4" w:space="0"/>
              <w:bottom w:val="single" w:color="auto" w:sz="4" w:space="0"/>
              <w:right w:val="single" w:color="auto" w:sz="4" w:space="0"/>
            </w:tcBorders>
            <w:shd w:val="clear" w:color="auto" w:fill="auto"/>
            <w:noWrap/>
            <w:vAlign w:val="center"/>
          </w:tcPr>
          <w:p w14:paraId="1A908D94">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eastAsia="en-IN" w:bidi="bn-BD"/>
                <w14:ligatures w14:val="none"/>
              </w:rPr>
              <w:t>15</w:t>
            </w:r>
          </w:p>
        </w:tc>
        <w:tc>
          <w:tcPr>
            <w:tcW w:w="4415" w:type="pct"/>
            <w:tcBorders>
              <w:top w:val="single" w:color="auto" w:sz="4" w:space="0"/>
              <w:left w:val="nil"/>
              <w:bottom w:val="single" w:color="auto" w:sz="4" w:space="0"/>
              <w:right w:val="single" w:color="auto" w:sz="4" w:space="0"/>
            </w:tcBorders>
            <w:shd w:val="clear" w:color="auto" w:fill="auto"/>
            <w:vAlign w:val="bottom"/>
          </w:tcPr>
          <w:p w14:paraId="2ACB0892">
            <w:pPr>
              <w:rPr>
                <w:rFonts w:hint="default" w:ascii="Times New Roman" w:hAnsi="Times New Roman" w:cs="Times New Roman"/>
                <w:color w:val="000000"/>
                <w:sz w:val="24"/>
                <w:szCs w:val="24"/>
              </w:rPr>
            </w:pPr>
            <w:r>
              <w:rPr>
                <w:rFonts w:hint="default" w:ascii="Times New Roman" w:hAnsi="Times New Roman" w:cs="Times New Roman"/>
                <w:color w:val="000000"/>
                <w:sz w:val="24"/>
                <w:szCs w:val="24"/>
              </w:rPr>
              <w:t xml:space="preserve">In addition to above the corrections suggested in the Text, </w:t>
            </w:r>
            <w:r>
              <w:rPr>
                <w:rFonts w:hint="default" w:ascii="Times New Roman" w:hAnsi="Times New Roman" w:cs="Times New Roman"/>
                <w:color w:val="000000"/>
                <w:sz w:val="24"/>
                <w:szCs w:val="24"/>
                <w:lang w:val="en-IN"/>
              </w:rPr>
              <w:t>Annexure</w:t>
            </w:r>
            <w:r>
              <w:rPr>
                <w:rFonts w:hint="default" w:ascii="Times New Roman" w:hAnsi="Times New Roman" w:cs="Times New Roman"/>
                <w:color w:val="000000"/>
                <w:sz w:val="24"/>
                <w:szCs w:val="24"/>
              </w:rPr>
              <w:t xml:space="preserve"> and Plates may be attended.</w:t>
            </w:r>
          </w:p>
          <w:p w14:paraId="614AC0BA">
            <w:pPr>
              <w:spacing w:after="0" w:line="240" w:lineRule="auto"/>
              <w:rPr>
                <w:rFonts w:hint="default" w:ascii="Times New Roman" w:hAnsi="Times New Roman" w:eastAsia="Times New Roman" w:cs="Times New Roman"/>
                <w:color w:val="000000"/>
                <w:kern w:val="0"/>
                <w:sz w:val="24"/>
                <w:szCs w:val="24"/>
                <w:lang w:eastAsia="en-IN" w:bidi="bn-BD"/>
                <w14:ligatures w14:val="none"/>
              </w:rPr>
            </w:pPr>
          </w:p>
          <w:p w14:paraId="36942602">
            <w:pPr>
              <w:spacing w:after="0" w:line="240" w:lineRule="auto"/>
              <w:rPr>
                <w:rFonts w:hint="default" w:ascii="Times New Roman" w:hAnsi="Times New Roman" w:eastAsia="Times New Roman" w:cs="Times New Roman"/>
                <w:color w:val="000000"/>
                <w:kern w:val="0"/>
                <w:sz w:val="24"/>
                <w:szCs w:val="24"/>
                <w:lang w:eastAsia="en-IN" w:bidi="bn-BD"/>
                <w14:ligatures w14:val="none"/>
              </w:rPr>
            </w:pPr>
          </w:p>
        </w:tc>
      </w:tr>
      <w:tr w14:paraId="13C515FD">
        <w:tblPrEx>
          <w:tblCellMar>
            <w:top w:w="0" w:type="dxa"/>
            <w:left w:w="108" w:type="dxa"/>
            <w:bottom w:w="0" w:type="dxa"/>
            <w:right w:w="108" w:type="dxa"/>
          </w:tblCellMar>
        </w:tblPrEx>
        <w:trPr>
          <w:trHeight w:val="930" w:hRule="atLeast"/>
        </w:trPr>
        <w:tc>
          <w:tcPr>
            <w:tcW w:w="5000" w:type="pct"/>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1DC2F1C">
            <w:pPr>
              <w:spacing w:after="0" w:line="240" w:lineRule="auto"/>
              <w:jc w:val="center"/>
              <w:rPr>
                <w:rFonts w:hint="default" w:ascii="Times New Roman" w:hAnsi="Times New Roman" w:eastAsia="Times New Roman" w:cs="Times New Roman"/>
                <w:color w:val="000000"/>
                <w:kern w:val="0"/>
                <w:sz w:val="24"/>
                <w:szCs w:val="24"/>
                <w:lang w:eastAsia="en-IN" w:bidi="bn-BD"/>
                <w14:ligatures w14:val="none"/>
              </w:rPr>
            </w:pPr>
            <w:r>
              <w:rPr>
                <w:rFonts w:hint="default" w:ascii="Times New Roman" w:hAnsi="Times New Roman" w:eastAsia="Times New Roman" w:cs="Times New Roman"/>
                <w:color w:val="000000"/>
                <w:kern w:val="0"/>
                <w:sz w:val="24"/>
                <w:szCs w:val="24"/>
                <w:lang w:val="en-US" w:eastAsia="en-IN" w:bidi="bn-BD"/>
                <w14:ligatures w14:val="none"/>
              </w:rPr>
              <w:t>All the comments and suggestions which are provided by the Peer Reviewer have been complied with proper explanation.</w:t>
            </w:r>
          </w:p>
        </w:tc>
      </w:tr>
    </w:tbl>
    <w:p w14:paraId="7DBE8B8B"/>
    <w:sectPr>
      <w:pgSz w:w="11906" w:h="16838"/>
      <w:pgMar w:top="1440" w:right="1080" w:bottom="1440" w:left="1080" w:header="708" w:footer="709" w:gutter="0"/>
      <w:paperSrc/>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等线">
    <w:altName w:val="Arial Unicode MS"/>
    <w:panose1 w:val="00000000000000000000"/>
    <w:charset w:val="86"/>
    <w:family w:val="auto"/>
    <w:pitch w:val="default"/>
    <w:sig w:usb0="00000000" w:usb1="00000000" w:usb2="00000000" w:usb3="00000000" w:csb0="00000000" w:csb1="00000000"/>
  </w:font>
  <w:font w:name="Vrinda">
    <w:altName w:val="AMGDT"/>
    <w:panose1 w:val="00000400000000000000"/>
    <w:charset w:val="00"/>
    <w:family w:val="swiss"/>
    <w:pitch w:val="default"/>
    <w:sig w:usb0="00000000" w:usb1="00000000" w:usb2="00000000" w:usb3="00000000" w:csb0="0000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8D2"/>
    <w:rsid w:val="000418D2"/>
    <w:rsid w:val="001E3BB8"/>
    <w:rsid w:val="003C569B"/>
    <w:rsid w:val="00401D89"/>
    <w:rsid w:val="00491A19"/>
    <w:rsid w:val="009C03D3"/>
    <w:rsid w:val="00AF6E3B"/>
    <w:rsid w:val="00C30CE1"/>
    <w:rsid w:val="39C679C4"/>
    <w:rsid w:val="43043AD5"/>
    <w:rsid w:val="54AE7D35"/>
    <w:rsid w:val="5D594A01"/>
    <w:rsid w:val="69D26E99"/>
  </w:rsids>
  <m:mathPr>
    <m:mathFont m:val="Cambria Math"/>
    <m:brkBin m:val="before"/>
    <m:brkBinSub m:val="--"/>
    <m:smallFrac m:val="0"/>
    <m:dispDef/>
    <m:lMargin m:val="0"/>
    <m:rMargin m:val="0"/>
    <m:defJc m:val="centerGroup"/>
    <m:wrapIndent m:val="1440"/>
    <m:intLim m:val="subSup"/>
    <m:naryLim m:val="undOvr"/>
  </m:mathPr>
  <w:themeFontLang w:val="en-IN" w:eastAsia="zh-CN" w:bidi="bn-BD"/>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kern w:val="2"/>
      <w:sz w:val="22"/>
      <w:szCs w:val="22"/>
      <w:lang w:val="en-IN" w:eastAsia="en-US" w:bidi="ar-SA"/>
      <w14:ligatures w14:val="standardContextual"/>
    </w:rPr>
  </w:style>
  <w:style w:type="paragraph" w:styleId="2">
    <w:name w:val="heading 1"/>
    <w:basedOn w:val="1"/>
    <w:next w:val="1"/>
    <w:link w:val="16"/>
    <w:qFormat/>
    <w:uiPriority w:val="9"/>
    <w:pPr>
      <w:keepNext/>
      <w:keepLines/>
      <w:spacing w:before="360" w:after="80"/>
      <w:outlineLvl w:val="0"/>
    </w:pPr>
    <w:rPr>
      <w:rFonts w:asciiTheme="majorHAnsi" w:hAnsiTheme="majorHAnsi" w:eastAsiaTheme="majorEastAsia" w:cstheme="majorBidi"/>
      <w:color w:val="376092" w:themeColor="accent1" w:themeShade="BF"/>
      <w:sz w:val="40"/>
      <w:szCs w:val="40"/>
    </w:rPr>
  </w:style>
  <w:style w:type="paragraph" w:styleId="3">
    <w:name w:val="heading 2"/>
    <w:basedOn w:val="1"/>
    <w:next w:val="1"/>
    <w:link w:val="17"/>
    <w:semiHidden/>
    <w:unhideWhenUsed/>
    <w:qFormat/>
    <w:uiPriority w:val="9"/>
    <w:pPr>
      <w:keepNext/>
      <w:keepLines/>
      <w:spacing w:before="160" w:after="80"/>
      <w:outlineLvl w:val="1"/>
    </w:pPr>
    <w:rPr>
      <w:rFonts w:asciiTheme="majorHAnsi" w:hAnsiTheme="majorHAnsi" w:eastAsiaTheme="majorEastAsia" w:cstheme="majorBidi"/>
      <w:color w:val="376092" w:themeColor="accent1" w:themeShade="BF"/>
      <w:sz w:val="32"/>
      <w:szCs w:val="32"/>
    </w:rPr>
  </w:style>
  <w:style w:type="paragraph" w:styleId="4">
    <w:name w:val="heading 3"/>
    <w:basedOn w:val="1"/>
    <w:next w:val="1"/>
    <w:link w:val="18"/>
    <w:semiHidden/>
    <w:unhideWhenUsed/>
    <w:qFormat/>
    <w:uiPriority w:val="9"/>
    <w:pPr>
      <w:keepNext/>
      <w:keepLines/>
      <w:spacing w:before="160" w:after="80"/>
      <w:outlineLvl w:val="2"/>
    </w:pPr>
    <w:rPr>
      <w:rFonts w:eastAsiaTheme="majorEastAsia" w:cstheme="majorBidi"/>
      <w:color w:val="376092" w:themeColor="accent1" w:themeShade="BF"/>
      <w:sz w:val="28"/>
      <w:szCs w:val="28"/>
    </w:rPr>
  </w:style>
  <w:style w:type="paragraph" w:styleId="5">
    <w:name w:val="heading 4"/>
    <w:basedOn w:val="1"/>
    <w:next w:val="1"/>
    <w:link w:val="19"/>
    <w:semiHidden/>
    <w:unhideWhenUsed/>
    <w:qFormat/>
    <w:uiPriority w:val="9"/>
    <w:pPr>
      <w:keepNext/>
      <w:keepLines/>
      <w:spacing w:before="80" w:after="40"/>
      <w:outlineLvl w:val="3"/>
    </w:pPr>
    <w:rPr>
      <w:rFonts w:eastAsiaTheme="majorEastAsia" w:cstheme="majorBidi"/>
      <w:i/>
      <w:iCs/>
      <w:color w:val="376092" w:themeColor="accent1" w:themeShade="BF"/>
    </w:rPr>
  </w:style>
  <w:style w:type="paragraph" w:styleId="6">
    <w:name w:val="heading 5"/>
    <w:basedOn w:val="1"/>
    <w:next w:val="1"/>
    <w:link w:val="20"/>
    <w:semiHidden/>
    <w:unhideWhenUsed/>
    <w:qFormat/>
    <w:uiPriority w:val="9"/>
    <w:pPr>
      <w:keepNext/>
      <w:keepLines/>
      <w:spacing w:before="80" w:after="40"/>
      <w:outlineLvl w:val="4"/>
    </w:pPr>
    <w:rPr>
      <w:rFonts w:eastAsiaTheme="majorEastAsia" w:cstheme="majorBidi"/>
      <w:color w:val="376092" w:themeColor="accent1" w:themeShade="BF"/>
    </w:rPr>
  </w:style>
  <w:style w:type="paragraph" w:styleId="7">
    <w:name w:val="heading 6"/>
    <w:basedOn w:val="1"/>
    <w:next w:val="1"/>
    <w:link w:val="21"/>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2"/>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3"/>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4"/>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Subtitle"/>
    <w:basedOn w:val="1"/>
    <w:next w:val="1"/>
    <w:link w:val="26"/>
    <w:qFormat/>
    <w:uiPriority w:val="11"/>
    <w:pPr>
      <w:spacing w:after="160"/>
    </w:pPr>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table" w:styleId="14">
    <w:name w:val="Table Grid"/>
    <w:basedOn w:val="12"/>
    <w:qFormat/>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5">
    <w:name w:val="Title"/>
    <w:basedOn w:val="1"/>
    <w:next w:val="1"/>
    <w:link w:val="25"/>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customStyle="1" w:styleId="16">
    <w:name w:val="Heading 1 Char"/>
    <w:basedOn w:val="11"/>
    <w:link w:val="2"/>
    <w:qFormat/>
    <w:uiPriority w:val="9"/>
    <w:rPr>
      <w:rFonts w:asciiTheme="majorHAnsi" w:hAnsiTheme="majorHAnsi" w:eastAsiaTheme="majorEastAsia" w:cstheme="majorBidi"/>
      <w:color w:val="376092" w:themeColor="accent1" w:themeShade="BF"/>
      <w:sz w:val="40"/>
      <w:szCs w:val="40"/>
    </w:rPr>
  </w:style>
  <w:style w:type="character" w:customStyle="1" w:styleId="17">
    <w:name w:val="Heading 2 Char"/>
    <w:basedOn w:val="11"/>
    <w:link w:val="3"/>
    <w:semiHidden/>
    <w:qFormat/>
    <w:uiPriority w:val="9"/>
    <w:rPr>
      <w:rFonts w:asciiTheme="majorHAnsi" w:hAnsiTheme="majorHAnsi" w:eastAsiaTheme="majorEastAsia" w:cstheme="majorBidi"/>
      <w:color w:val="376092" w:themeColor="accent1" w:themeShade="BF"/>
      <w:sz w:val="32"/>
      <w:szCs w:val="32"/>
    </w:rPr>
  </w:style>
  <w:style w:type="character" w:customStyle="1" w:styleId="18">
    <w:name w:val="Heading 3 Char"/>
    <w:basedOn w:val="11"/>
    <w:link w:val="4"/>
    <w:semiHidden/>
    <w:qFormat/>
    <w:uiPriority w:val="9"/>
    <w:rPr>
      <w:rFonts w:eastAsiaTheme="majorEastAsia" w:cstheme="majorBidi"/>
      <w:color w:val="376092" w:themeColor="accent1" w:themeShade="BF"/>
      <w:sz w:val="28"/>
      <w:szCs w:val="28"/>
    </w:rPr>
  </w:style>
  <w:style w:type="character" w:customStyle="1" w:styleId="19">
    <w:name w:val="Heading 4 Char"/>
    <w:basedOn w:val="11"/>
    <w:link w:val="5"/>
    <w:semiHidden/>
    <w:qFormat/>
    <w:uiPriority w:val="9"/>
    <w:rPr>
      <w:rFonts w:eastAsiaTheme="majorEastAsia" w:cstheme="majorBidi"/>
      <w:i/>
      <w:iCs/>
      <w:color w:val="376092" w:themeColor="accent1" w:themeShade="BF"/>
    </w:rPr>
  </w:style>
  <w:style w:type="character" w:customStyle="1" w:styleId="20">
    <w:name w:val="Heading 5 Char"/>
    <w:basedOn w:val="11"/>
    <w:link w:val="6"/>
    <w:semiHidden/>
    <w:qFormat/>
    <w:uiPriority w:val="9"/>
    <w:rPr>
      <w:rFonts w:eastAsiaTheme="majorEastAsia" w:cstheme="majorBidi"/>
      <w:color w:val="376092" w:themeColor="accent1" w:themeShade="BF"/>
    </w:rPr>
  </w:style>
  <w:style w:type="character" w:customStyle="1" w:styleId="21">
    <w:name w:val="Heading 6 Char"/>
    <w:basedOn w:val="11"/>
    <w:link w:val="7"/>
    <w:semiHidden/>
    <w:qFormat/>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2">
    <w:name w:val="Heading 7 Char"/>
    <w:basedOn w:val="11"/>
    <w:link w:val="8"/>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3">
    <w:name w:val="Heading 8 Char"/>
    <w:basedOn w:val="11"/>
    <w:link w:val="9"/>
    <w:semiHidden/>
    <w:qFormat/>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4">
    <w:name w:val="Heading 9 Char"/>
    <w:basedOn w:val="11"/>
    <w:link w:val="10"/>
    <w:semiHidden/>
    <w:qFormat/>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5">
    <w:name w:val="Title Char"/>
    <w:basedOn w:val="11"/>
    <w:link w:val="15"/>
    <w:qFormat/>
    <w:uiPriority w:val="10"/>
    <w:rPr>
      <w:rFonts w:asciiTheme="majorHAnsi" w:hAnsiTheme="majorHAnsi" w:eastAsiaTheme="majorEastAsia" w:cstheme="majorBidi"/>
      <w:spacing w:val="-10"/>
      <w:kern w:val="28"/>
      <w:sz w:val="56"/>
      <w:szCs w:val="56"/>
    </w:rPr>
  </w:style>
  <w:style w:type="character" w:customStyle="1" w:styleId="26">
    <w:name w:val="Subtitle Char"/>
    <w:basedOn w:val="11"/>
    <w:link w:val="13"/>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Quote"/>
    <w:basedOn w:val="1"/>
    <w:next w:val="1"/>
    <w:link w:val="28"/>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8">
    <w:name w:val="Quote Char"/>
    <w:basedOn w:val="11"/>
    <w:link w:val="27"/>
    <w:qFormat/>
    <w:uiPriority w:val="29"/>
    <w:rPr>
      <w:i/>
      <w:iCs/>
      <w:color w:val="404040" w:themeColor="text1" w:themeTint="BF"/>
      <w14:textFill>
        <w14:solidFill>
          <w14:schemeClr w14:val="tx1">
            <w14:lumMod w14:val="75000"/>
            <w14:lumOff w14:val="25000"/>
          </w14:schemeClr>
        </w14:solidFill>
      </w14:textFill>
    </w:rPr>
  </w:style>
  <w:style w:type="paragraph" w:styleId="29">
    <w:name w:val="List Paragraph"/>
    <w:basedOn w:val="1"/>
    <w:qFormat/>
    <w:uiPriority w:val="34"/>
    <w:pPr>
      <w:ind w:left="720"/>
      <w:contextualSpacing/>
    </w:pPr>
  </w:style>
  <w:style w:type="character" w:customStyle="1" w:styleId="30">
    <w:name w:val="Intense Emphasis"/>
    <w:basedOn w:val="11"/>
    <w:qFormat/>
    <w:uiPriority w:val="21"/>
    <w:rPr>
      <w:i/>
      <w:iCs/>
      <w:color w:val="376092" w:themeColor="accent1" w:themeShade="BF"/>
    </w:rPr>
  </w:style>
  <w:style w:type="paragraph" w:styleId="31">
    <w:name w:val="Intense Quote"/>
    <w:basedOn w:val="1"/>
    <w:next w:val="1"/>
    <w:link w:val="32"/>
    <w:qFormat/>
    <w:uiPriority w:val="30"/>
    <w:pPr>
      <w:pBdr>
        <w:top w:val="single" w:color="366091" w:themeColor="accent1" w:themeShade="BF" w:sz="4" w:space="10"/>
        <w:bottom w:val="single" w:color="366091" w:themeColor="accent1" w:themeShade="BF" w:sz="4" w:space="10"/>
      </w:pBdr>
      <w:spacing w:before="360" w:after="360"/>
      <w:ind w:left="864" w:right="864"/>
      <w:jc w:val="center"/>
    </w:pPr>
    <w:rPr>
      <w:i/>
      <w:iCs/>
      <w:color w:val="376092" w:themeColor="accent1" w:themeShade="BF"/>
    </w:rPr>
  </w:style>
  <w:style w:type="character" w:customStyle="1" w:styleId="32">
    <w:name w:val="Intense Quote Char"/>
    <w:basedOn w:val="11"/>
    <w:link w:val="31"/>
    <w:qFormat/>
    <w:uiPriority w:val="30"/>
    <w:rPr>
      <w:i/>
      <w:iCs/>
      <w:color w:val="376092" w:themeColor="accent1" w:themeShade="BF"/>
    </w:rPr>
  </w:style>
  <w:style w:type="character" w:customStyle="1" w:styleId="33">
    <w:name w:val="Intense Reference"/>
    <w:basedOn w:val="11"/>
    <w:qFormat/>
    <w:uiPriority w:val="32"/>
    <w:rPr>
      <w:b/>
      <w:bCs/>
      <w:smallCaps/>
      <w:color w:val="376092" w:themeColor="accent1" w:themeShade="BF"/>
      <w:spacing w:val="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933</Words>
  <Characters>4852</Characters>
  <Lines>42</Lines>
  <Paragraphs>11</Paragraphs>
  <TotalTime>88</TotalTime>
  <ScaleCrop>false</ScaleCrop>
  <LinksUpToDate>false</LinksUpToDate>
  <CharactersWithSpaces>5727</CharactersWithSpaces>
  <Application>WPS Office_12.2.0.19805_F1E327BC-269C-435d-A152-05C5408002CA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2025-01-25T06:04:00Z</dcterms:created>
  <dc:creator>SWARBHANU DEY (HDR)</dc:creator>
  <cp:lastModifiedBy>Avijit Roy</cp:lastModifiedBy>
  <cp:lastPrinted>2025-02-07T06:27:26Z</cp:lastPrinted>
  <dcterms:modified xsi:type="dcterms:W3CDTF">2025-02-07T07:49:44Z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1033-12.2.0.19805</vt:lpwstr>
  </property>
  <property fmtid="{D5CDD505-2E9C-101B-9397-08002B2CF9AE}" pid="3" name="ICV">
    <vt:lpwstr>C34126AA928D4EA398CEC11AFA987163_13</vt:lpwstr>
  </property>
</Properties>
</file>