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463" w:rsidRDefault="005B5463" w:rsidP="00B64861">
      <w:pPr>
        <w:rPr>
          <w:rFonts w:ascii="Times New Roman" w:hAnsi="Times New Roman" w:cs="Times New Roman"/>
          <w:b/>
          <w:bCs/>
          <w:lang w:val="en-IN"/>
        </w:rPr>
      </w:pPr>
    </w:p>
    <w:p w:rsidR="00012AA7" w:rsidRPr="00684455" w:rsidRDefault="009F5263" w:rsidP="00B64861">
      <w:pPr>
        <w:rPr>
          <w:rFonts w:ascii="Times New Roman" w:hAnsi="Times New Roman" w:cs="Times New Roman"/>
          <w:b/>
          <w:bCs/>
          <w:lang w:val="en-IN"/>
        </w:rPr>
      </w:pPr>
      <w:r w:rsidRPr="00684455">
        <w:rPr>
          <w:rFonts w:ascii="Times New Roman" w:hAnsi="Times New Roman" w:cs="Times New Roman"/>
          <w:b/>
          <w:bCs/>
          <w:lang w:val="en-IN"/>
        </w:rPr>
        <w:t xml:space="preserve">Subject: Review of the report on </w:t>
      </w:r>
      <w:proofErr w:type="spellStart"/>
      <w:r w:rsidRPr="00684455">
        <w:rPr>
          <w:rFonts w:ascii="Times New Roman" w:hAnsi="Times New Roman" w:cs="Times New Roman"/>
          <w:b/>
          <w:bCs/>
          <w:lang w:val="en-IN"/>
        </w:rPr>
        <w:t>Kisanpur</w:t>
      </w:r>
      <w:proofErr w:type="spellEnd"/>
      <w:r w:rsidRPr="00684455">
        <w:rPr>
          <w:rFonts w:ascii="Times New Roman" w:hAnsi="Times New Roman" w:cs="Times New Roman"/>
          <w:b/>
          <w:bCs/>
          <w:lang w:val="en-IN"/>
        </w:rPr>
        <w:t xml:space="preserve"> </w:t>
      </w:r>
      <w:proofErr w:type="spellStart"/>
      <w:r w:rsidRPr="00684455">
        <w:rPr>
          <w:rFonts w:ascii="Times New Roman" w:hAnsi="Times New Roman" w:cs="Times New Roman"/>
          <w:b/>
          <w:bCs/>
          <w:lang w:val="en-IN"/>
        </w:rPr>
        <w:t>Glauconite</w:t>
      </w:r>
      <w:proofErr w:type="spellEnd"/>
      <w:r w:rsidR="002B1AE3">
        <w:rPr>
          <w:rFonts w:ascii="Times New Roman" w:hAnsi="Times New Roman" w:cs="Times New Roman"/>
          <w:b/>
          <w:bCs/>
          <w:lang w:val="en-IN"/>
        </w:rPr>
        <w:t xml:space="preserve"> Investigation</w:t>
      </w:r>
      <w:r w:rsidR="00012AA7" w:rsidRPr="00684455">
        <w:rPr>
          <w:rFonts w:ascii="Times New Roman" w:hAnsi="Times New Roman" w:cs="Times New Roman"/>
          <w:b/>
          <w:bCs/>
          <w:lang w:val="en-IN"/>
        </w:rPr>
        <w:br/>
        <w:t>Ref: MECL/EXPL/File/NMET/P.R.</w:t>
      </w:r>
      <w:r w:rsidR="0084284C" w:rsidRPr="00684455">
        <w:rPr>
          <w:rFonts w:ascii="Times New Roman" w:hAnsi="Times New Roman" w:cs="Times New Roman"/>
          <w:b/>
          <w:bCs/>
          <w:lang w:val="en-IN"/>
        </w:rPr>
        <w:t>/2025-26/709 (</w:t>
      </w:r>
      <w:r w:rsidR="00FE7964" w:rsidRPr="00684455">
        <w:rPr>
          <w:rFonts w:ascii="Times New Roman" w:hAnsi="Times New Roman" w:cs="Times New Roman"/>
          <w:b/>
          <w:bCs/>
          <w:lang w:val="en-IN"/>
        </w:rPr>
        <w:t>Dt</w:t>
      </w:r>
      <w:proofErr w:type="gramStart"/>
      <w:r w:rsidR="00FE7964" w:rsidRPr="00684455">
        <w:rPr>
          <w:rFonts w:ascii="Times New Roman" w:hAnsi="Times New Roman" w:cs="Times New Roman"/>
          <w:b/>
          <w:bCs/>
          <w:lang w:val="en-IN"/>
        </w:rPr>
        <w:t>:</w:t>
      </w:r>
      <w:r w:rsidR="0084284C" w:rsidRPr="00684455">
        <w:rPr>
          <w:rFonts w:ascii="Times New Roman" w:hAnsi="Times New Roman" w:cs="Times New Roman"/>
          <w:b/>
          <w:bCs/>
          <w:lang w:val="en-IN"/>
        </w:rPr>
        <w:t>24</w:t>
      </w:r>
      <w:proofErr w:type="gramEnd"/>
      <w:r w:rsidR="0084284C" w:rsidRPr="00684455">
        <w:rPr>
          <w:rFonts w:ascii="Times New Roman" w:hAnsi="Times New Roman" w:cs="Times New Roman"/>
          <w:b/>
          <w:bCs/>
          <w:lang w:val="en-IN"/>
        </w:rPr>
        <w:t>-11-25)</w:t>
      </w:r>
    </w:p>
    <w:p w:rsidR="00C76A98" w:rsidRDefault="00C76A98" w:rsidP="00AF53E6">
      <w:pPr>
        <w:jc w:val="both"/>
        <w:rPr>
          <w:rFonts w:ascii="Times New Roman" w:hAnsi="Times New Roman" w:cs="Times New Roman"/>
          <w:b/>
          <w:bCs/>
          <w:i/>
          <w:iCs/>
          <w:lang w:val="en-IN"/>
        </w:rPr>
      </w:pPr>
    </w:p>
    <w:p w:rsidR="00261525" w:rsidRPr="00C76A98" w:rsidRDefault="00DC5CDC" w:rsidP="00AF53E6">
      <w:pPr>
        <w:jc w:val="both"/>
        <w:rPr>
          <w:rFonts w:ascii="Times New Roman" w:hAnsi="Times New Roman" w:cs="Times New Roman"/>
          <w:b/>
          <w:bCs/>
          <w:i/>
          <w:iCs/>
          <w:lang w:val="en-IN"/>
        </w:rPr>
      </w:pPr>
      <w:proofErr w:type="spellStart"/>
      <w:r w:rsidRPr="00C76A98">
        <w:rPr>
          <w:rFonts w:ascii="Times New Roman" w:hAnsi="Times New Roman" w:cs="Times New Roman"/>
          <w:b/>
          <w:bCs/>
          <w:i/>
          <w:iCs/>
          <w:lang w:val="en-IN"/>
        </w:rPr>
        <w:t>Kisanpur</w:t>
      </w:r>
      <w:proofErr w:type="spellEnd"/>
      <w:r w:rsidRPr="00C76A98">
        <w:rPr>
          <w:rFonts w:ascii="Times New Roman" w:hAnsi="Times New Roman" w:cs="Times New Roman"/>
          <w:b/>
          <w:bCs/>
          <w:i/>
          <w:iCs/>
          <w:lang w:val="en-IN"/>
        </w:rPr>
        <w:t xml:space="preserve"> </w:t>
      </w:r>
      <w:proofErr w:type="spellStart"/>
      <w:r w:rsidRPr="00C76A98">
        <w:rPr>
          <w:rFonts w:ascii="Times New Roman" w:hAnsi="Times New Roman" w:cs="Times New Roman"/>
          <w:b/>
          <w:bCs/>
          <w:i/>
          <w:iCs/>
          <w:lang w:val="en-IN"/>
        </w:rPr>
        <w:t>Glauconite</w:t>
      </w:r>
      <w:proofErr w:type="spellEnd"/>
      <w:r w:rsidRPr="00C76A98">
        <w:rPr>
          <w:rFonts w:ascii="Times New Roman" w:hAnsi="Times New Roman" w:cs="Times New Roman"/>
          <w:b/>
          <w:bCs/>
          <w:i/>
          <w:iCs/>
          <w:lang w:val="en-IN"/>
        </w:rPr>
        <w:t xml:space="preserve"> Report</w:t>
      </w:r>
    </w:p>
    <w:p w:rsidR="009F6FA2" w:rsidRDefault="00FE7964" w:rsidP="00AF53E6">
      <w:pPr>
        <w:jc w:val="both"/>
        <w:rPr>
          <w:rFonts w:ascii="Times New Roman" w:hAnsi="Times New Roman" w:cs="Times New Roman"/>
        </w:rPr>
      </w:pPr>
      <w:r w:rsidRPr="00684455">
        <w:rPr>
          <w:rFonts w:ascii="Times New Roman" w:hAnsi="Times New Roman" w:cs="Times New Roman"/>
        </w:rPr>
        <w:t>The report was received by email on 2</w:t>
      </w:r>
      <w:r w:rsidR="001A0F3F" w:rsidRPr="00684455">
        <w:rPr>
          <w:rFonts w:ascii="Times New Roman" w:hAnsi="Times New Roman" w:cs="Times New Roman"/>
        </w:rPr>
        <w:t>6</w:t>
      </w:r>
      <w:r w:rsidRPr="00684455">
        <w:rPr>
          <w:rFonts w:ascii="Times New Roman" w:hAnsi="Times New Roman" w:cs="Times New Roman"/>
        </w:rPr>
        <w:t>-11-2025</w:t>
      </w:r>
      <w:r w:rsidR="000E3CF1" w:rsidRPr="00684455">
        <w:rPr>
          <w:rFonts w:ascii="Times New Roman" w:hAnsi="Times New Roman" w:cs="Times New Roman"/>
        </w:rPr>
        <w:t xml:space="preserve">, along with all </w:t>
      </w:r>
      <w:r w:rsidR="00684455" w:rsidRPr="00684455">
        <w:rPr>
          <w:rFonts w:ascii="Times New Roman" w:hAnsi="Times New Roman" w:cs="Times New Roman"/>
        </w:rPr>
        <w:t>annexures</w:t>
      </w:r>
      <w:r w:rsidR="000E3CF1" w:rsidRPr="00684455">
        <w:rPr>
          <w:rFonts w:ascii="Times New Roman" w:hAnsi="Times New Roman" w:cs="Times New Roman"/>
        </w:rPr>
        <w:t>. The same has been examined and the comments are offered below.</w:t>
      </w:r>
    </w:p>
    <w:p w:rsidR="00C76A98" w:rsidRPr="00C76A98" w:rsidRDefault="00C76A98" w:rsidP="00AF53E6">
      <w:pPr>
        <w:jc w:val="both"/>
        <w:rPr>
          <w:rFonts w:ascii="Times New Roman" w:hAnsi="Times New Roman" w:cs="Times New Roman"/>
        </w:rPr>
      </w:pPr>
    </w:p>
    <w:p w:rsidR="000E3CF1" w:rsidRPr="00C76A98" w:rsidRDefault="000E3CF1" w:rsidP="00AF53E6">
      <w:pPr>
        <w:jc w:val="both"/>
        <w:rPr>
          <w:rFonts w:ascii="Times New Roman" w:hAnsi="Times New Roman" w:cs="Times New Roman"/>
          <w:b/>
          <w:bCs/>
          <w:i/>
          <w:iCs/>
        </w:rPr>
      </w:pPr>
      <w:r w:rsidRPr="00C76A98">
        <w:rPr>
          <w:rFonts w:ascii="Times New Roman" w:hAnsi="Times New Roman" w:cs="Times New Roman"/>
          <w:b/>
          <w:bCs/>
          <w:i/>
          <w:iCs/>
        </w:rPr>
        <w:t>Observations</w:t>
      </w:r>
    </w:p>
    <w:p w:rsidR="00CD0CE6" w:rsidRPr="00684455" w:rsidRDefault="00811599" w:rsidP="00AF53E6">
      <w:pPr>
        <w:jc w:val="both"/>
        <w:rPr>
          <w:rFonts w:ascii="Times New Roman" w:hAnsi="Times New Roman" w:cs="Times New Roman"/>
        </w:rPr>
      </w:pPr>
      <w:r w:rsidRPr="00684455">
        <w:rPr>
          <w:rFonts w:ascii="Times New Roman" w:hAnsi="Times New Roman" w:cs="Times New Roman"/>
        </w:rPr>
        <w:t xml:space="preserve">This geological report is on reconnaissance survey for </w:t>
      </w:r>
      <w:proofErr w:type="spellStart"/>
      <w:r w:rsidRPr="00684455">
        <w:rPr>
          <w:rFonts w:ascii="Times New Roman" w:hAnsi="Times New Roman" w:cs="Times New Roman"/>
        </w:rPr>
        <w:t>glauconite</w:t>
      </w:r>
      <w:proofErr w:type="spellEnd"/>
      <w:r w:rsidRPr="00684455">
        <w:rPr>
          <w:rFonts w:ascii="Times New Roman" w:hAnsi="Times New Roman" w:cs="Times New Roman"/>
        </w:rPr>
        <w:t xml:space="preserve"> sandstone in </w:t>
      </w:r>
      <w:proofErr w:type="spellStart"/>
      <w:r w:rsidRPr="00684455">
        <w:rPr>
          <w:rFonts w:ascii="Times New Roman" w:hAnsi="Times New Roman" w:cs="Times New Roman"/>
        </w:rPr>
        <w:t>Kisanpur</w:t>
      </w:r>
      <w:proofErr w:type="spellEnd"/>
      <w:r w:rsidRPr="00684455">
        <w:rPr>
          <w:rFonts w:ascii="Times New Roman" w:hAnsi="Times New Roman" w:cs="Times New Roman"/>
        </w:rPr>
        <w:t xml:space="preserve"> block</w:t>
      </w:r>
      <w:r w:rsidR="001A0F3F" w:rsidRPr="00684455">
        <w:rPr>
          <w:rFonts w:ascii="Times New Roman" w:hAnsi="Times New Roman" w:cs="Times New Roman"/>
        </w:rPr>
        <w:t xml:space="preserve">, </w:t>
      </w:r>
      <w:proofErr w:type="spellStart"/>
      <w:r w:rsidR="001A0F3F" w:rsidRPr="00684455">
        <w:rPr>
          <w:rFonts w:ascii="Times New Roman" w:hAnsi="Times New Roman" w:cs="Times New Roman"/>
        </w:rPr>
        <w:t>Majhgaon</w:t>
      </w:r>
      <w:proofErr w:type="spellEnd"/>
      <w:r w:rsidR="001A0F3F" w:rsidRPr="00684455">
        <w:rPr>
          <w:rFonts w:ascii="Times New Roman" w:hAnsi="Times New Roman" w:cs="Times New Roman"/>
        </w:rPr>
        <w:t>, Dist</w:t>
      </w:r>
      <w:r w:rsidR="00CD0CE6" w:rsidRPr="00684455">
        <w:rPr>
          <w:rFonts w:ascii="Times New Roman" w:hAnsi="Times New Roman" w:cs="Times New Roman"/>
        </w:rPr>
        <w:t>. Satna, Madhya Pradesh.</w:t>
      </w:r>
    </w:p>
    <w:p w:rsidR="00CD0CE6" w:rsidRPr="00684455" w:rsidRDefault="00CD0CE6" w:rsidP="00AF53E6">
      <w:pPr>
        <w:jc w:val="both"/>
        <w:rPr>
          <w:rFonts w:ascii="Times New Roman" w:hAnsi="Times New Roman" w:cs="Times New Roman"/>
        </w:rPr>
      </w:pPr>
      <w:r w:rsidRPr="00684455">
        <w:rPr>
          <w:rFonts w:ascii="Times New Roman" w:hAnsi="Times New Roman" w:cs="Times New Roman"/>
        </w:rPr>
        <w:t xml:space="preserve">The </w:t>
      </w:r>
      <w:proofErr w:type="gramStart"/>
      <w:r w:rsidRPr="00684455">
        <w:rPr>
          <w:rFonts w:ascii="Times New Roman" w:hAnsi="Times New Roman" w:cs="Times New Roman"/>
        </w:rPr>
        <w:t>investigations</w:t>
      </w:r>
      <w:r w:rsidR="000C2D63">
        <w:rPr>
          <w:rFonts w:ascii="Times New Roman" w:hAnsi="Times New Roman" w:cs="Times New Roman"/>
        </w:rPr>
        <w:t xml:space="preserve"> for G-4 stage</w:t>
      </w:r>
      <w:r w:rsidRPr="00684455">
        <w:rPr>
          <w:rFonts w:ascii="Times New Roman" w:hAnsi="Times New Roman" w:cs="Times New Roman"/>
        </w:rPr>
        <w:t xml:space="preserve"> has</w:t>
      </w:r>
      <w:proofErr w:type="gramEnd"/>
      <w:r w:rsidRPr="00684455">
        <w:rPr>
          <w:rFonts w:ascii="Times New Roman" w:hAnsi="Times New Roman" w:cs="Times New Roman"/>
        </w:rPr>
        <w:t xml:space="preserve"> been carried out by MECL</w:t>
      </w:r>
      <w:r w:rsidR="00722249" w:rsidRPr="00684455">
        <w:rPr>
          <w:rFonts w:ascii="Times New Roman" w:hAnsi="Times New Roman" w:cs="Times New Roman"/>
        </w:rPr>
        <w:t>.</w:t>
      </w:r>
    </w:p>
    <w:p w:rsidR="009F6FA2" w:rsidRDefault="009F6FA2" w:rsidP="00AF53E6">
      <w:pPr>
        <w:jc w:val="both"/>
        <w:rPr>
          <w:rFonts w:ascii="Times New Roman" w:hAnsi="Times New Roman" w:cs="Times New Roman"/>
          <w:b/>
          <w:bCs/>
        </w:rPr>
      </w:pPr>
    </w:p>
    <w:p w:rsidR="00811599" w:rsidRPr="00C76A98" w:rsidRDefault="00690051" w:rsidP="00AF53E6">
      <w:pPr>
        <w:jc w:val="both"/>
        <w:rPr>
          <w:rFonts w:ascii="Times New Roman" w:hAnsi="Times New Roman" w:cs="Times New Roman"/>
          <w:i/>
          <w:iCs/>
        </w:rPr>
      </w:pPr>
      <w:r w:rsidRPr="00C76A98">
        <w:rPr>
          <w:rFonts w:ascii="Times New Roman" w:hAnsi="Times New Roman" w:cs="Times New Roman"/>
          <w:b/>
          <w:bCs/>
          <w:i/>
          <w:iCs/>
        </w:rPr>
        <w:t xml:space="preserve">General Geology and </w:t>
      </w:r>
      <w:r w:rsidR="009F6FA2" w:rsidRPr="00C76A98">
        <w:rPr>
          <w:rFonts w:ascii="Times New Roman" w:hAnsi="Times New Roman" w:cs="Times New Roman"/>
          <w:b/>
          <w:bCs/>
          <w:i/>
          <w:iCs/>
        </w:rPr>
        <w:t>Mineralization</w:t>
      </w:r>
      <w:r w:rsidRPr="00C76A98">
        <w:rPr>
          <w:rFonts w:ascii="Times New Roman" w:hAnsi="Times New Roman" w:cs="Times New Roman"/>
          <w:b/>
          <w:bCs/>
          <w:i/>
          <w:iCs/>
        </w:rPr>
        <w:t>.</w:t>
      </w:r>
    </w:p>
    <w:p w:rsidR="00DF58A6" w:rsidRPr="00684455" w:rsidRDefault="00FE7964" w:rsidP="00AF53E6">
      <w:pPr>
        <w:jc w:val="both"/>
        <w:rPr>
          <w:rFonts w:ascii="Times New Roman" w:hAnsi="Times New Roman" w:cs="Times New Roman"/>
        </w:rPr>
      </w:pPr>
      <w:r w:rsidRPr="00684455">
        <w:rPr>
          <w:rFonts w:ascii="Times New Roman" w:hAnsi="Times New Roman" w:cs="Times New Roman"/>
        </w:rPr>
        <w:t>T</w:t>
      </w:r>
      <w:r w:rsidR="00DF58A6" w:rsidRPr="00684455">
        <w:rPr>
          <w:rFonts w:ascii="Times New Roman" w:hAnsi="Times New Roman" w:cs="Times New Roman"/>
        </w:rPr>
        <w:t xml:space="preserve">he </w:t>
      </w:r>
      <w:proofErr w:type="spellStart"/>
      <w:r w:rsidR="00DF58A6" w:rsidRPr="00684455">
        <w:rPr>
          <w:rFonts w:ascii="Times New Roman" w:hAnsi="Times New Roman" w:cs="Times New Roman"/>
        </w:rPr>
        <w:t>Kisanpur</w:t>
      </w:r>
      <w:proofErr w:type="spellEnd"/>
      <w:r w:rsidR="00DF58A6" w:rsidRPr="00684455">
        <w:rPr>
          <w:rFonts w:ascii="Times New Roman" w:hAnsi="Times New Roman" w:cs="Times New Roman"/>
        </w:rPr>
        <w:t xml:space="preserve"> G-4 block forms part of the </w:t>
      </w:r>
      <w:proofErr w:type="spellStart"/>
      <w:r w:rsidR="00DF58A6" w:rsidRPr="00684455">
        <w:rPr>
          <w:rFonts w:ascii="Times New Roman" w:hAnsi="Times New Roman" w:cs="Times New Roman"/>
        </w:rPr>
        <w:t>Majhga</w:t>
      </w:r>
      <w:r w:rsidR="00855474" w:rsidRPr="00684455">
        <w:rPr>
          <w:rFonts w:ascii="Times New Roman" w:hAnsi="Times New Roman" w:cs="Times New Roman"/>
        </w:rPr>
        <w:t>o</w:t>
      </w:r>
      <w:r w:rsidR="00DF58A6" w:rsidRPr="00684455">
        <w:rPr>
          <w:rFonts w:ascii="Times New Roman" w:hAnsi="Times New Roman" w:cs="Times New Roman"/>
        </w:rPr>
        <w:t>n–Paharikhera</w:t>
      </w:r>
      <w:proofErr w:type="spellEnd"/>
      <w:r w:rsidR="00DF58A6" w:rsidRPr="00684455">
        <w:rPr>
          <w:rFonts w:ascii="Times New Roman" w:hAnsi="Times New Roman" w:cs="Times New Roman"/>
        </w:rPr>
        <w:t xml:space="preserve"> Potash Belt in the northern Satna district, Madhya Pradesh, and is geologically underlain by the </w:t>
      </w:r>
      <w:proofErr w:type="spellStart"/>
      <w:r w:rsidR="00DF58A6" w:rsidRPr="00684455">
        <w:rPr>
          <w:rFonts w:ascii="Times New Roman" w:hAnsi="Times New Roman" w:cs="Times New Roman"/>
        </w:rPr>
        <w:t>Rewa</w:t>
      </w:r>
      <w:proofErr w:type="spellEnd"/>
      <w:r w:rsidR="00DF58A6" w:rsidRPr="00684455">
        <w:rPr>
          <w:rFonts w:ascii="Times New Roman" w:hAnsi="Times New Roman" w:cs="Times New Roman"/>
        </w:rPr>
        <w:t xml:space="preserve"> and </w:t>
      </w:r>
      <w:proofErr w:type="spellStart"/>
      <w:r w:rsidR="00DF58A6" w:rsidRPr="00684455">
        <w:rPr>
          <w:rFonts w:ascii="Times New Roman" w:hAnsi="Times New Roman" w:cs="Times New Roman"/>
        </w:rPr>
        <w:t>Kaimur</w:t>
      </w:r>
      <w:proofErr w:type="spellEnd"/>
      <w:r w:rsidR="00DF58A6" w:rsidRPr="00684455">
        <w:rPr>
          <w:rFonts w:ascii="Times New Roman" w:hAnsi="Times New Roman" w:cs="Times New Roman"/>
        </w:rPr>
        <w:t xml:space="preserve"> Groups of the Vindhyan Supergroup. The area exposes a complete and conformable sedimentary succession from argillaceous to arenaceous facies, reflecting a gradual transition from low-energy to high-energy depositional conditions typical of a shallow marine shelf setting. The glauconite-bearing horizon is hosted within the </w:t>
      </w:r>
      <w:proofErr w:type="spellStart"/>
      <w:r w:rsidR="00DF58A6" w:rsidRPr="00684455">
        <w:rPr>
          <w:rFonts w:ascii="Times New Roman" w:hAnsi="Times New Roman" w:cs="Times New Roman"/>
        </w:rPr>
        <w:t>Banbiha</w:t>
      </w:r>
      <w:proofErr w:type="spellEnd"/>
      <w:r w:rsidR="00DF58A6" w:rsidRPr="00684455">
        <w:rPr>
          <w:rFonts w:ascii="Times New Roman" w:hAnsi="Times New Roman" w:cs="Times New Roman"/>
        </w:rPr>
        <w:t xml:space="preserve"> Sandstone Member of the </w:t>
      </w:r>
      <w:proofErr w:type="spellStart"/>
      <w:r w:rsidR="00DF58A6" w:rsidRPr="00684455">
        <w:rPr>
          <w:rFonts w:ascii="Times New Roman" w:hAnsi="Times New Roman" w:cs="Times New Roman"/>
        </w:rPr>
        <w:t>Itwa</w:t>
      </w:r>
      <w:proofErr w:type="spellEnd"/>
      <w:r w:rsidR="00DF58A6" w:rsidRPr="00684455">
        <w:rPr>
          <w:rFonts w:ascii="Times New Roman" w:hAnsi="Times New Roman" w:cs="Times New Roman"/>
        </w:rPr>
        <w:t xml:space="preserve"> Sandstone Formation of the Rewa Group. The formation is characterized by medium-grained glauconitic sandstone with interbeds of chert and displays primary sedimentary structures such as bedding variations, cross-bedding, ripple marks, lamination and mud cracks. These features indicate deposition under low to moderate energy conditions within reducing, mildly alkaline marine environments, which are </w:t>
      </w:r>
      <w:proofErr w:type="spellStart"/>
      <w:r w:rsidR="00DF58A6" w:rsidRPr="00684455">
        <w:rPr>
          <w:rFonts w:ascii="Times New Roman" w:hAnsi="Times New Roman" w:cs="Times New Roman"/>
        </w:rPr>
        <w:t>favourable</w:t>
      </w:r>
      <w:proofErr w:type="spellEnd"/>
      <w:r w:rsidR="00DF58A6" w:rsidRPr="00684455">
        <w:rPr>
          <w:rFonts w:ascii="Times New Roman" w:hAnsi="Times New Roman" w:cs="Times New Roman"/>
        </w:rPr>
        <w:t xml:space="preserve"> for </w:t>
      </w:r>
      <w:proofErr w:type="spellStart"/>
      <w:r w:rsidR="00DF58A6" w:rsidRPr="00684455">
        <w:rPr>
          <w:rFonts w:ascii="Times New Roman" w:hAnsi="Times New Roman" w:cs="Times New Roman"/>
        </w:rPr>
        <w:t>authigenic</w:t>
      </w:r>
      <w:proofErr w:type="spellEnd"/>
      <w:r w:rsidR="00DF58A6" w:rsidRPr="00684455">
        <w:rPr>
          <w:rFonts w:ascii="Times New Roman" w:hAnsi="Times New Roman" w:cs="Times New Roman"/>
        </w:rPr>
        <w:t xml:space="preserve"> </w:t>
      </w:r>
      <w:proofErr w:type="spellStart"/>
      <w:r w:rsidR="00DF58A6" w:rsidRPr="00684455">
        <w:rPr>
          <w:rFonts w:ascii="Times New Roman" w:hAnsi="Times New Roman" w:cs="Times New Roman"/>
        </w:rPr>
        <w:t>glauconite</w:t>
      </w:r>
      <w:proofErr w:type="spellEnd"/>
      <w:r w:rsidR="00DF58A6" w:rsidRPr="00684455">
        <w:rPr>
          <w:rFonts w:ascii="Times New Roman" w:hAnsi="Times New Roman" w:cs="Times New Roman"/>
        </w:rPr>
        <w:t xml:space="preserve"> mineralization. Disseminated pyrite and the presence of associated minerals such as quartz, feldspar, muscovite and chlorite point towards an acid-igneous provenance with sediment transport predominantly from the northwest to north. Structurally, the block shows a NE–SW to ENE–WSW strike with a gentle 1°–2° southeasterly dip and an overall stable tectonic regime, with no evidence of metamorphism or major faulting.</w:t>
      </w:r>
    </w:p>
    <w:p w:rsidR="009F6FA2" w:rsidRDefault="009F6FA2" w:rsidP="00AF53E6">
      <w:pPr>
        <w:jc w:val="both"/>
        <w:rPr>
          <w:rFonts w:ascii="Times New Roman" w:hAnsi="Times New Roman" w:cs="Times New Roman"/>
          <w:b/>
          <w:bCs/>
        </w:rPr>
      </w:pPr>
    </w:p>
    <w:p w:rsidR="00712E12" w:rsidRPr="00C76A98" w:rsidRDefault="00712E12" w:rsidP="00AF53E6">
      <w:pPr>
        <w:jc w:val="both"/>
        <w:rPr>
          <w:rFonts w:ascii="Times New Roman" w:hAnsi="Times New Roman" w:cs="Times New Roman"/>
          <w:b/>
          <w:bCs/>
          <w:i/>
          <w:iCs/>
        </w:rPr>
      </w:pPr>
      <w:r w:rsidRPr="00C76A98">
        <w:rPr>
          <w:rFonts w:ascii="Times New Roman" w:hAnsi="Times New Roman" w:cs="Times New Roman"/>
          <w:b/>
          <w:bCs/>
          <w:i/>
          <w:iCs/>
        </w:rPr>
        <w:t>Status of Exploration</w:t>
      </w:r>
    </w:p>
    <w:p w:rsidR="005B5463" w:rsidRDefault="005B5463" w:rsidP="00AF53E6">
      <w:pPr>
        <w:jc w:val="both"/>
        <w:rPr>
          <w:rFonts w:ascii="Times New Roman" w:hAnsi="Times New Roman" w:cs="Times New Roman"/>
        </w:rPr>
      </w:pPr>
    </w:p>
    <w:p w:rsidR="005B5463" w:rsidRDefault="005B5463" w:rsidP="00AF53E6">
      <w:pPr>
        <w:jc w:val="both"/>
        <w:rPr>
          <w:rFonts w:ascii="Times New Roman" w:hAnsi="Times New Roman" w:cs="Times New Roman"/>
        </w:rPr>
      </w:pPr>
    </w:p>
    <w:p w:rsidR="00DF58A6" w:rsidRPr="00684455" w:rsidRDefault="00DF58A6" w:rsidP="00AF53E6">
      <w:pPr>
        <w:jc w:val="both"/>
        <w:rPr>
          <w:rFonts w:ascii="Times New Roman" w:hAnsi="Times New Roman" w:cs="Times New Roman"/>
        </w:rPr>
      </w:pPr>
      <w:r w:rsidRPr="00684455">
        <w:rPr>
          <w:rFonts w:ascii="Times New Roman" w:hAnsi="Times New Roman" w:cs="Times New Roman"/>
        </w:rPr>
        <w:t xml:space="preserve">Exploration activities in the block commenced on 10 February 2025 with geological mapping at 1:12,500 scale, followed by detailed lithological and structural documentation and sampling of the glauconitic horizon. Drilling operations began on 19 May 2025 and were completed on 19 June 2025, with a total of 308 m drilled through eight vertical boreholes spaced at 1600 × 1600 m intervals in accordance with the Mineral Evidence of Mineral Content Rules, 2015, for G-4 level investigation. In total, 169 primary core samples and 20 surface bedrock samples were </w:t>
      </w:r>
      <w:r w:rsidR="009F6FA2" w:rsidRPr="00684455">
        <w:rPr>
          <w:rFonts w:ascii="Times New Roman" w:hAnsi="Times New Roman" w:cs="Times New Roman"/>
        </w:rPr>
        <w:t>analyzed</w:t>
      </w:r>
      <w:r w:rsidRPr="00684455">
        <w:rPr>
          <w:rFonts w:ascii="Times New Roman" w:hAnsi="Times New Roman" w:cs="Times New Roman"/>
        </w:rPr>
        <w:t xml:space="preserve"> at MECL’s chemical laboratory (Nagpur) for K₂O, </w:t>
      </w:r>
      <w:proofErr w:type="spellStart"/>
      <w:r w:rsidRPr="00684455">
        <w:rPr>
          <w:rFonts w:ascii="Times New Roman" w:hAnsi="Times New Roman" w:cs="Times New Roman"/>
        </w:rPr>
        <w:t>SiO</w:t>
      </w:r>
      <w:proofErr w:type="spellEnd"/>
      <w:r w:rsidRPr="00684455">
        <w:rPr>
          <w:rFonts w:ascii="Times New Roman" w:hAnsi="Times New Roman" w:cs="Times New Roman"/>
        </w:rPr>
        <w:t xml:space="preserve">₂, </w:t>
      </w:r>
      <w:proofErr w:type="spellStart"/>
      <w:r w:rsidRPr="00684455">
        <w:rPr>
          <w:rFonts w:ascii="Times New Roman" w:hAnsi="Times New Roman" w:cs="Times New Roman"/>
        </w:rPr>
        <w:t>Al₂O</w:t>
      </w:r>
      <w:proofErr w:type="spellEnd"/>
      <w:r w:rsidRPr="00684455">
        <w:rPr>
          <w:rFonts w:ascii="Times New Roman" w:hAnsi="Times New Roman" w:cs="Times New Roman"/>
        </w:rPr>
        <w:t xml:space="preserve">₃ and </w:t>
      </w:r>
      <w:proofErr w:type="spellStart"/>
      <w:r w:rsidRPr="00684455">
        <w:rPr>
          <w:rFonts w:ascii="Times New Roman" w:hAnsi="Times New Roman" w:cs="Times New Roman"/>
        </w:rPr>
        <w:t>Fe₂O</w:t>
      </w:r>
      <w:proofErr w:type="spellEnd"/>
      <w:r w:rsidRPr="00684455">
        <w:rPr>
          <w:rFonts w:ascii="Times New Roman" w:hAnsi="Times New Roman" w:cs="Times New Roman"/>
        </w:rPr>
        <w:t>₃, while 15 external check samples were tested at JNARDDC, Nagpur. Additional laboratory investigations including composite analyses for 12 radicals, bulk density studies and XRD are being undertaken, with XRD work in progress. The achieved exploration quantum exceeded approved targets in terms of total boreholes and sample generation, thereby reinforcing the data reliability.</w:t>
      </w:r>
    </w:p>
    <w:p w:rsidR="009F6FA2" w:rsidRDefault="009F6FA2" w:rsidP="00AF53E6">
      <w:pPr>
        <w:jc w:val="both"/>
        <w:rPr>
          <w:rFonts w:ascii="Times New Roman" w:hAnsi="Times New Roman" w:cs="Times New Roman"/>
          <w:b/>
          <w:bCs/>
        </w:rPr>
      </w:pPr>
    </w:p>
    <w:p w:rsidR="006972B0" w:rsidRPr="00C76A98" w:rsidRDefault="006972B0" w:rsidP="00AF53E6">
      <w:pPr>
        <w:jc w:val="both"/>
        <w:rPr>
          <w:rFonts w:ascii="Times New Roman" w:hAnsi="Times New Roman" w:cs="Times New Roman"/>
          <w:i/>
          <w:iCs/>
        </w:rPr>
      </w:pPr>
      <w:r w:rsidRPr="00C76A98">
        <w:rPr>
          <w:rFonts w:ascii="Times New Roman" w:hAnsi="Times New Roman" w:cs="Times New Roman"/>
          <w:b/>
          <w:bCs/>
          <w:i/>
          <w:iCs/>
        </w:rPr>
        <w:t>Comments on work output</w:t>
      </w:r>
      <w:r w:rsidRPr="00C76A98">
        <w:rPr>
          <w:rFonts w:ascii="Times New Roman" w:hAnsi="Times New Roman" w:cs="Times New Roman"/>
          <w:i/>
          <w:iCs/>
        </w:rPr>
        <w:t>.</w:t>
      </w:r>
    </w:p>
    <w:p w:rsidR="00DF58A6" w:rsidRPr="00684455" w:rsidRDefault="00DF58A6" w:rsidP="00AF53E6">
      <w:pPr>
        <w:jc w:val="both"/>
        <w:rPr>
          <w:rFonts w:ascii="Times New Roman" w:hAnsi="Times New Roman" w:cs="Times New Roman"/>
        </w:rPr>
      </w:pPr>
      <w:r w:rsidRPr="00684455">
        <w:rPr>
          <w:rFonts w:ascii="Times New Roman" w:hAnsi="Times New Roman" w:cs="Times New Roman"/>
        </w:rPr>
        <w:t xml:space="preserve">The drilling successfully intersected the glauconite-bearing zone in all eight boreholes at shallow depths ranging between 9.70 m and 21.00 m below surface. The thickness of the mineralized layer varies from 11.30 m to 22.60 m with a consistently high average grade of 6.66% K₂O when a cut-off of &gt;5% K₂O is applied. The shallow nature, continuity and thickness of glauconitic sandstone across the drilled grid demonstrate promising lateral persistence of the mineralized horizon and </w:t>
      </w:r>
      <w:proofErr w:type="spellStart"/>
      <w:r w:rsidRPr="00684455">
        <w:rPr>
          <w:rFonts w:ascii="Times New Roman" w:hAnsi="Times New Roman" w:cs="Times New Roman"/>
        </w:rPr>
        <w:t>favourable</w:t>
      </w:r>
      <w:proofErr w:type="spellEnd"/>
      <w:r w:rsidRPr="00684455">
        <w:rPr>
          <w:rFonts w:ascii="Times New Roman" w:hAnsi="Times New Roman" w:cs="Times New Roman"/>
        </w:rPr>
        <w:t xml:space="preserve"> mining geometry.</w:t>
      </w:r>
    </w:p>
    <w:p w:rsidR="003809A9" w:rsidRPr="00684455" w:rsidRDefault="007F13B0" w:rsidP="00AF53E6">
      <w:pPr>
        <w:jc w:val="both"/>
        <w:rPr>
          <w:rFonts w:ascii="Times New Roman" w:hAnsi="Times New Roman" w:cs="Times New Roman"/>
          <w:b/>
          <w:bCs/>
        </w:rPr>
      </w:pPr>
      <w:r w:rsidRPr="00684455">
        <w:rPr>
          <w:rFonts w:ascii="Times New Roman" w:hAnsi="Times New Roman" w:cs="Times New Roman"/>
          <w:b/>
          <w:bCs/>
        </w:rPr>
        <w:t>It is seen therefore</w:t>
      </w:r>
      <w:r w:rsidR="004E018F">
        <w:rPr>
          <w:rFonts w:ascii="Times New Roman" w:hAnsi="Times New Roman" w:cs="Times New Roman"/>
          <w:b/>
          <w:bCs/>
        </w:rPr>
        <w:t>,</w:t>
      </w:r>
      <w:r w:rsidRPr="00684455">
        <w:rPr>
          <w:rFonts w:ascii="Times New Roman" w:hAnsi="Times New Roman" w:cs="Times New Roman"/>
          <w:b/>
          <w:bCs/>
        </w:rPr>
        <w:t xml:space="preserve"> that all the set targets of exploration for G-4 stage have been completed.</w:t>
      </w:r>
    </w:p>
    <w:p w:rsidR="009F6FA2" w:rsidRPr="00C76A98" w:rsidRDefault="009F6FA2" w:rsidP="00AF53E6">
      <w:pPr>
        <w:jc w:val="both"/>
        <w:rPr>
          <w:rFonts w:ascii="Times New Roman" w:hAnsi="Times New Roman" w:cs="Times New Roman"/>
          <w:b/>
          <w:bCs/>
          <w:i/>
          <w:iCs/>
        </w:rPr>
      </w:pPr>
    </w:p>
    <w:p w:rsidR="00110C30" w:rsidRPr="00C76A98" w:rsidRDefault="00110C30" w:rsidP="00AF53E6">
      <w:pPr>
        <w:jc w:val="both"/>
        <w:rPr>
          <w:rFonts w:ascii="Times New Roman" w:hAnsi="Times New Roman" w:cs="Times New Roman"/>
          <w:b/>
          <w:bCs/>
          <w:i/>
          <w:iCs/>
        </w:rPr>
      </w:pPr>
      <w:r w:rsidRPr="00C76A98">
        <w:rPr>
          <w:rFonts w:ascii="Times New Roman" w:hAnsi="Times New Roman" w:cs="Times New Roman"/>
          <w:b/>
          <w:bCs/>
          <w:i/>
          <w:iCs/>
        </w:rPr>
        <w:t>Resource Estimation</w:t>
      </w:r>
      <w:r w:rsidR="00FF7613">
        <w:rPr>
          <w:rFonts w:ascii="Times New Roman" w:hAnsi="Times New Roman" w:cs="Times New Roman"/>
          <w:b/>
          <w:bCs/>
          <w:i/>
          <w:iCs/>
        </w:rPr>
        <w:t xml:space="preserve"> - comments</w:t>
      </w:r>
    </w:p>
    <w:p w:rsidR="00341FD8" w:rsidRPr="00684455" w:rsidRDefault="00DF58A6" w:rsidP="00AF53E6">
      <w:pPr>
        <w:jc w:val="both"/>
        <w:rPr>
          <w:rFonts w:ascii="Times New Roman" w:hAnsi="Times New Roman" w:cs="Times New Roman"/>
        </w:rPr>
      </w:pPr>
      <w:r w:rsidRPr="00684455">
        <w:rPr>
          <w:rFonts w:ascii="Times New Roman" w:hAnsi="Times New Roman" w:cs="Times New Roman"/>
        </w:rPr>
        <w:t xml:space="preserve">Resource estimation was carried out using Cross-Sectional Method as the principal method and Polygonal Method as the check. After applying 20% deduction for unseen geological losses, the estimated net in-situ resources stand at 1505.26 million </w:t>
      </w:r>
      <w:proofErr w:type="spellStart"/>
      <w:r w:rsidRPr="00684455">
        <w:rPr>
          <w:rFonts w:ascii="Times New Roman" w:hAnsi="Times New Roman" w:cs="Times New Roman"/>
        </w:rPr>
        <w:t>tonnes</w:t>
      </w:r>
      <w:proofErr w:type="spellEnd"/>
      <w:r w:rsidRPr="00684455">
        <w:rPr>
          <w:rFonts w:ascii="Times New Roman" w:hAnsi="Times New Roman" w:cs="Times New Roman"/>
        </w:rPr>
        <w:t xml:space="preserve"> with an average grade of 6.67% K₂O, of which 207.41 million </w:t>
      </w:r>
      <w:proofErr w:type="spellStart"/>
      <w:r w:rsidRPr="00684455">
        <w:rPr>
          <w:rFonts w:ascii="Times New Roman" w:hAnsi="Times New Roman" w:cs="Times New Roman"/>
        </w:rPr>
        <w:t>tonnes</w:t>
      </w:r>
      <w:proofErr w:type="spellEnd"/>
      <w:r w:rsidRPr="00684455">
        <w:rPr>
          <w:rFonts w:ascii="Times New Roman" w:hAnsi="Times New Roman" w:cs="Times New Roman"/>
        </w:rPr>
        <w:t xml:space="preserve"> fall under the 333 (Inferred) category and 1297.85 million </w:t>
      </w:r>
      <w:proofErr w:type="spellStart"/>
      <w:r w:rsidRPr="00684455">
        <w:rPr>
          <w:rFonts w:ascii="Times New Roman" w:hAnsi="Times New Roman" w:cs="Times New Roman"/>
        </w:rPr>
        <w:t>tonnes</w:t>
      </w:r>
      <w:proofErr w:type="spellEnd"/>
      <w:r w:rsidRPr="00684455">
        <w:rPr>
          <w:rFonts w:ascii="Times New Roman" w:hAnsi="Times New Roman" w:cs="Times New Roman"/>
        </w:rPr>
        <w:t xml:space="preserve"> under the 334 (Reconnaissance) category. The variance between cross-sectional and polygonal estimates is 5.35%, falling within acceptable limits and confirming the reliability of the resource estimation database. </w:t>
      </w:r>
    </w:p>
    <w:p w:rsidR="00DF58A6" w:rsidRPr="00684455" w:rsidRDefault="00DF58A6" w:rsidP="00AF53E6">
      <w:pPr>
        <w:jc w:val="both"/>
        <w:rPr>
          <w:rFonts w:ascii="Times New Roman" w:hAnsi="Times New Roman" w:cs="Times New Roman"/>
          <w:b/>
          <w:bCs/>
        </w:rPr>
      </w:pPr>
      <w:r w:rsidRPr="00684455">
        <w:rPr>
          <w:rFonts w:ascii="Times New Roman" w:hAnsi="Times New Roman" w:cs="Times New Roman"/>
          <w:b/>
          <w:bCs/>
        </w:rPr>
        <w:t>The exploration work has therefore</w:t>
      </w:r>
      <w:r w:rsidR="00D73411">
        <w:rPr>
          <w:rFonts w:ascii="Times New Roman" w:hAnsi="Times New Roman" w:cs="Times New Roman"/>
          <w:b/>
          <w:bCs/>
        </w:rPr>
        <w:t xml:space="preserve">, </w:t>
      </w:r>
      <w:r w:rsidRPr="00684455">
        <w:rPr>
          <w:rFonts w:ascii="Times New Roman" w:hAnsi="Times New Roman" w:cs="Times New Roman"/>
          <w:b/>
          <w:bCs/>
        </w:rPr>
        <w:t>adequately validated the potential of the block and upgraded its viability for commercial allocation.</w:t>
      </w:r>
    </w:p>
    <w:p w:rsidR="009F6FA2" w:rsidRPr="00C76A98" w:rsidRDefault="009F6FA2" w:rsidP="00AF53E6">
      <w:pPr>
        <w:jc w:val="both"/>
        <w:rPr>
          <w:rFonts w:ascii="Times New Roman" w:hAnsi="Times New Roman" w:cs="Times New Roman"/>
          <w:b/>
          <w:bCs/>
          <w:i/>
          <w:iCs/>
        </w:rPr>
      </w:pPr>
    </w:p>
    <w:p w:rsidR="0052498B" w:rsidRPr="00C76A98" w:rsidRDefault="00EE694A" w:rsidP="00AF53E6">
      <w:pPr>
        <w:jc w:val="both"/>
        <w:rPr>
          <w:rFonts w:ascii="Times New Roman" w:hAnsi="Times New Roman" w:cs="Times New Roman"/>
          <w:b/>
          <w:bCs/>
          <w:i/>
          <w:iCs/>
        </w:rPr>
      </w:pPr>
      <w:r w:rsidRPr="00C76A98">
        <w:rPr>
          <w:rFonts w:ascii="Times New Roman" w:hAnsi="Times New Roman" w:cs="Times New Roman"/>
          <w:b/>
          <w:bCs/>
          <w:i/>
          <w:iCs/>
        </w:rPr>
        <w:t>Concluding remarks</w:t>
      </w:r>
    </w:p>
    <w:p w:rsidR="005B5463" w:rsidRDefault="005B5463" w:rsidP="00AF53E6">
      <w:pPr>
        <w:jc w:val="both"/>
        <w:rPr>
          <w:rFonts w:ascii="Times New Roman" w:hAnsi="Times New Roman" w:cs="Times New Roman"/>
        </w:rPr>
      </w:pPr>
    </w:p>
    <w:p w:rsidR="00F955BB" w:rsidRPr="00D73411" w:rsidRDefault="00F955BB" w:rsidP="00AF53E6">
      <w:pPr>
        <w:jc w:val="both"/>
        <w:rPr>
          <w:rFonts w:ascii="Times New Roman" w:hAnsi="Times New Roman" w:cs="Times New Roman"/>
        </w:rPr>
      </w:pPr>
      <w:r w:rsidRPr="00D73411">
        <w:rPr>
          <w:rFonts w:ascii="Times New Roman" w:hAnsi="Times New Roman" w:cs="Times New Roman"/>
        </w:rPr>
        <w:t xml:space="preserve">It is seen that the G-4 level investigation at </w:t>
      </w:r>
      <w:proofErr w:type="spellStart"/>
      <w:r w:rsidRPr="00D73411">
        <w:rPr>
          <w:rFonts w:ascii="Times New Roman" w:hAnsi="Times New Roman" w:cs="Times New Roman"/>
        </w:rPr>
        <w:t>Kisanpur</w:t>
      </w:r>
      <w:proofErr w:type="spellEnd"/>
      <w:r w:rsidRPr="00D73411">
        <w:rPr>
          <w:rFonts w:ascii="Times New Roman" w:hAnsi="Times New Roman" w:cs="Times New Roman"/>
        </w:rPr>
        <w:t xml:space="preserve"> block is adequately covered.</w:t>
      </w:r>
    </w:p>
    <w:p w:rsidR="00DF58A6" w:rsidRPr="00684455" w:rsidRDefault="00EB15C0" w:rsidP="00AF53E6">
      <w:pPr>
        <w:jc w:val="both"/>
        <w:rPr>
          <w:rFonts w:ascii="Times New Roman" w:hAnsi="Times New Roman" w:cs="Times New Roman"/>
        </w:rPr>
      </w:pPr>
      <w:r w:rsidRPr="00684455">
        <w:rPr>
          <w:rFonts w:ascii="Times New Roman" w:hAnsi="Times New Roman" w:cs="Times New Roman"/>
        </w:rPr>
        <w:t>Therefore</w:t>
      </w:r>
      <w:r w:rsidR="002236E2" w:rsidRPr="00684455">
        <w:rPr>
          <w:rFonts w:ascii="Times New Roman" w:hAnsi="Times New Roman" w:cs="Times New Roman"/>
        </w:rPr>
        <w:t>, b</w:t>
      </w:r>
      <w:r w:rsidR="00DF58A6" w:rsidRPr="00684455">
        <w:rPr>
          <w:rFonts w:ascii="Times New Roman" w:hAnsi="Times New Roman" w:cs="Times New Roman"/>
        </w:rPr>
        <w:t xml:space="preserve">ased on the current results, the </w:t>
      </w:r>
      <w:proofErr w:type="spellStart"/>
      <w:r w:rsidR="00DF58A6" w:rsidRPr="00684455">
        <w:rPr>
          <w:rFonts w:ascii="Times New Roman" w:hAnsi="Times New Roman" w:cs="Times New Roman"/>
        </w:rPr>
        <w:t>Kisanpur</w:t>
      </w:r>
      <w:proofErr w:type="spellEnd"/>
      <w:r w:rsidR="00DF58A6" w:rsidRPr="00684455">
        <w:rPr>
          <w:rFonts w:ascii="Times New Roman" w:hAnsi="Times New Roman" w:cs="Times New Roman"/>
        </w:rPr>
        <w:t xml:space="preserve"> G-4 block </w:t>
      </w:r>
      <w:r w:rsidR="00DA74E4" w:rsidRPr="00684455">
        <w:rPr>
          <w:rFonts w:ascii="Times New Roman" w:hAnsi="Times New Roman" w:cs="Times New Roman"/>
        </w:rPr>
        <w:t>qualifies for next stage of detailed exploration</w:t>
      </w:r>
      <w:r w:rsidR="006717FF" w:rsidRPr="00684455">
        <w:rPr>
          <w:rFonts w:ascii="Times New Roman" w:hAnsi="Times New Roman" w:cs="Times New Roman"/>
        </w:rPr>
        <w:t xml:space="preserve"> </w:t>
      </w:r>
      <w:r w:rsidR="00DA74E4" w:rsidRPr="00684455">
        <w:rPr>
          <w:rFonts w:ascii="Times New Roman" w:hAnsi="Times New Roman" w:cs="Times New Roman"/>
        </w:rPr>
        <w:t>(G-2</w:t>
      </w:r>
      <w:r w:rsidR="006717FF" w:rsidRPr="00684455">
        <w:rPr>
          <w:rFonts w:ascii="Times New Roman" w:hAnsi="Times New Roman" w:cs="Times New Roman"/>
        </w:rPr>
        <w:t>/G-3)</w:t>
      </w:r>
      <w:r w:rsidR="00DF58A6" w:rsidRPr="00684455">
        <w:rPr>
          <w:rFonts w:ascii="Times New Roman" w:hAnsi="Times New Roman" w:cs="Times New Roman"/>
        </w:rPr>
        <w:t>. For future exploration and resource upgrade from 333/334 to higher confidence categories, a systematic phased approach is proposed. In the next stage, grid spacing should be reduced to 800 m × 800 m to bring the block to G-3 level, with additional drilling supported by SEM-EDS and bimodal analysis to accurately distinguish glauconite from feldspar and mica. Metallurgical test work including mineral liberation analysis and beneficiation studies will be critical to determine extractability of potassium. Subsequent G-2 level work should target 400 m × 400 m infill drilling and pilot-scale processing tests, followed by G-1 production-scale validation, bulk sampling, comprehensive mine planning, and UNFC resource conversion to 111 for commercial mining.</w:t>
      </w:r>
    </w:p>
    <w:p w:rsidR="00DF58A6" w:rsidRPr="00684455" w:rsidRDefault="00DF58A6" w:rsidP="00AF53E6">
      <w:pPr>
        <w:jc w:val="both"/>
        <w:rPr>
          <w:rFonts w:ascii="Times New Roman" w:hAnsi="Times New Roman" w:cs="Times New Roman"/>
        </w:rPr>
      </w:pPr>
      <w:r w:rsidRPr="00684455">
        <w:rPr>
          <w:rFonts w:ascii="Times New Roman" w:hAnsi="Times New Roman" w:cs="Times New Roman"/>
        </w:rPr>
        <w:t xml:space="preserve">The exploration results from the </w:t>
      </w:r>
      <w:proofErr w:type="spellStart"/>
      <w:r w:rsidRPr="00684455">
        <w:rPr>
          <w:rFonts w:ascii="Times New Roman" w:hAnsi="Times New Roman" w:cs="Times New Roman"/>
        </w:rPr>
        <w:t>Kisanpur</w:t>
      </w:r>
      <w:proofErr w:type="spellEnd"/>
      <w:r w:rsidRPr="00684455">
        <w:rPr>
          <w:rFonts w:ascii="Times New Roman" w:hAnsi="Times New Roman" w:cs="Times New Roman"/>
        </w:rPr>
        <w:t xml:space="preserve"> G-4 block clearly demonstrate the presence of a laterally persistent, thick, shallow glauconitic bed with consistent K₂O grade that is </w:t>
      </w:r>
      <w:proofErr w:type="spellStart"/>
      <w:r w:rsidRPr="00684455">
        <w:rPr>
          <w:rFonts w:ascii="Times New Roman" w:hAnsi="Times New Roman" w:cs="Times New Roman"/>
        </w:rPr>
        <w:t>favourable</w:t>
      </w:r>
      <w:proofErr w:type="spellEnd"/>
      <w:r w:rsidRPr="00684455">
        <w:rPr>
          <w:rFonts w:ascii="Times New Roman" w:hAnsi="Times New Roman" w:cs="Times New Roman"/>
        </w:rPr>
        <w:t xml:space="preserve"> for large-scale exploitation. The established resource base of more than 1.5 billion </w:t>
      </w:r>
      <w:proofErr w:type="spellStart"/>
      <w:r w:rsidRPr="00684455">
        <w:rPr>
          <w:rFonts w:ascii="Times New Roman" w:hAnsi="Times New Roman" w:cs="Times New Roman"/>
        </w:rPr>
        <w:t>tonnes</w:t>
      </w:r>
      <w:proofErr w:type="spellEnd"/>
      <w:r w:rsidRPr="00684455">
        <w:rPr>
          <w:rFonts w:ascii="Times New Roman" w:hAnsi="Times New Roman" w:cs="Times New Roman"/>
        </w:rPr>
        <w:t xml:space="preserve"> positions the block as a major strategic potassium source for India. With further detailed exploration and processing studies, the block holds strong potential to contribute significantly toward national goals of fertilizer self-reliance under the National Critical Minerals Mission.</w:t>
      </w:r>
    </w:p>
    <w:p w:rsidR="00B62559" w:rsidRPr="00684455" w:rsidRDefault="00B62559" w:rsidP="00AF53E6">
      <w:pPr>
        <w:jc w:val="both"/>
        <w:rPr>
          <w:rFonts w:ascii="Times New Roman" w:hAnsi="Times New Roman" w:cs="Times New Roman"/>
        </w:rPr>
      </w:pPr>
      <w:r w:rsidRPr="00684455">
        <w:rPr>
          <w:rFonts w:ascii="Times New Roman" w:hAnsi="Times New Roman" w:cs="Times New Roman"/>
        </w:rPr>
        <w:t xml:space="preserve">Exploration activities in the </w:t>
      </w:r>
      <w:r w:rsidR="003C2F83" w:rsidRPr="00684455">
        <w:rPr>
          <w:rFonts w:ascii="Times New Roman" w:hAnsi="Times New Roman" w:cs="Times New Roman"/>
        </w:rPr>
        <w:t>adjoining</w:t>
      </w:r>
      <w:r w:rsidRPr="00684455">
        <w:rPr>
          <w:rFonts w:ascii="Times New Roman" w:hAnsi="Times New Roman" w:cs="Times New Roman"/>
        </w:rPr>
        <w:t xml:space="preserve"> </w:t>
      </w:r>
      <w:r w:rsidR="00F9477F" w:rsidRPr="00684455">
        <w:rPr>
          <w:rFonts w:ascii="Times New Roman" w:hAnsi="Times New Roman" w:cs="Times New Roman"/>
        </w:rPr>
        <w:t>se</w:t>
      </w:r>
      <w:r w:rsidRPr="00684455">
        <w:rPr>
          <w:rFonts w:ascii="Times New Roman" w:hAnsi="Times New Roman" w:cs="Times New Roman"/>
        </w:rPr>
        <w:t>ctor</w:t>
      </w:r>
      <w:r w:rsidR="00F9477F" w:rsidRPr="00684455">
        <w:rPr>
          <w:rFonts w:ascii="Times New Roman" w:hAnsi="Times New Roman" w:cs="Times New Roman"/>
        </w:rPr>
        <w:t xml:space="preserve">s </w:t>
      </w:r>
      <w:r w:rsidRPr="00684455">
        <w:rPr>
          <w:rFonts w:ascii="Times New Roman" w:hAnsi="Times New Roman" w:cs="Times New Roman"/>
        </w:rPr>
        <w:t xml:space="preserve">have significantly advanced the understanding of glauconite-bearing horizons within the Upper Bagh Sandstone and associated sedimentary units. </w:t>
      </w:r>
      <w:r w:rsidR="00F9477F" w:rsidRPr="00684455">
        <w:rPr>
          <w:rFonts w:ascii="Times New Roman" w:hAnsi="Times New Roman" w:cs="Times New Roman"/>
        </w:rPr>
        <w:t xml:space="preserve">Thus this block also assumes significance </w:t>
      </w:r>
      <w:r w:rsidR="003B2FD8" w:rsidRPr="00684455">
        <w:rPr>
          <w:rFonts w:ascii="Times New Roman" w:hAnsi="Times New Roman" w:cs="Times New Roman"/>
        </w:rPr>
        <w:t>particularly in light of</w:t>
      </w:r>
      <w:r w:rsidR="00DE3CBE" w:rsidRPr="00684455">
        <w:rPr>
          <w:rFonts w:ascii="Times New Roman" w:hAnsi="Times New Roman" w:cs="Times New Roman"/>
        </w:rPr>
        <w:t xml:space="preserve"> investigations already carried out in the adjoining blocks.</w:t>
      </w:r>
      <w:r w:rsidR="003B2FD8" w:rsidRPr="00684455">
        <w:rPr>
          <w:rFonts w:ascii="Times New Roman" w:hAnsi="Times New Roman" w:cs="Times New Roman"/>
        </w:rPr>
        <w:t xml:space="preserve"> </w:t>
      </w:r>
      <w:r w:rsidRPr="00684455">
        <w:rPr>
          <w:rFonts w:ascii="Times New Roman" w:hAnsi="Times New Roman" w:cs="Times New Roman"/>
        </w:rPr>
        <w:t xml:space="preserve">Multi-scale geological mapping supported by remote sensing has delineated laterally persistent glauconitic bands exhibiting consistent thickness and mineralogical uniformity over large strike lengths. Subsurface investigations through limited scout drilling, trenching, and sampling have confirmed the continuity of glauconitic horizons at shallow to moderate depths with </w:t>
      </w:r>
      <w:proofErr w:type="spellStart"/>
      <w:r w:rsidRPr="00684455">
        <w:rPr>
          <w:rFonts w:ascii="Times New Roman" w:hAnsi="Times New Roman" w:cs="Times New Roman"/>
        </w:rPr>
        <w:t>favourable</w:t>
      </w:r>
      <w:proofErr w:type="spellEnd"/>
      <w:r w:rsidRPr="00684455">
        <w:rPr>
          <w:rFonts w:ascii="Times New Roman" w:hAnsi="Times New Roman" w:cs="Times New Roman"/>
        </w:rPr>
        <w:t xml:space="preserve"> mineable geometry. Petrography, SEM-EDS, and XRD analyses have authenticated the presence of well-formed glauconite pellets with good </w:t>
      </w:r>
      <w:proofErr w:type="spellStart"/>
      <w:r w:rsidRPr="00684455">
        <w:rPr>
          <w:rFonts w:ascii="Times New Roman" w:hAnsi="Times New Roman" w:cs="Times New Roman"/>
        </w:rPr>
        <w:t>crystallinity</w:t>
      </w:r>
      <w:proofErr w:type="spellEnd"/>
      <w:r w:rsidRPr="00684455">
        <w:rPr>
          <w:rFonts w:ascii="Times New Roman" w:hAnsi="Times New Roman" w:cs="Times New Roman"/>
        </w:rPr>
        <w:t xml:space="preserve"> and maturity </w:t>
      </w:r>
      <w:proofErr w:type="spellStart"/>
      <w:r w:rsidRPr="00684455">
        <w:rPr>
          <w:rFonts w:ascii="Times New Roman" w:hAnsi="Times New Roman" w:cs="Times New Roman"/>
        </w:rPr>
        <w:t>favourable</w:t>
      </w:r>
      <w:proofErr w:type="spellEnd"/>
      <w:r w:rsidRPr="00684455">
        <w:rPr>
          <w:rFonts w:ascii="Times New Roman" w:hAnsi="Times New Roman" w:cs="Times New Roman"/>
        </w:rPr>
        <w:t xml:space="preserve"> for industrial use. Geochemical assays indicate potassium enrichment comparable to globally exploited deposits. Integration of surface and subsurface datasets has enabled the establishment of grade–thickness trends, lateral variability patterns, and the identification of structurally and stratigraphically controlled resource </w:t>
      </w:r>
      <w:r w:rsidR="00510A5E" w:rsidRPr="00684455">
        <w:rPr>
          <w:rFonts w:ascii="Times New Roman" w:hAnsi="Times New Roman" w:cs="Times New Roman"/>
        </w:rPr>
        <w:t>lenses</w:t>
      </w:r>
      <w:r w:rsidRPr="00684455">
        <w:rPr>
          <w:rFonts w:ascii="Times New Roman" w:hAnsi="Times New Roman" w:cs="Times New Roman"/>
        </w:rPr>
        <w:t>. The completed exploration work has thus significantly upgraded the geological confidence and established a clear framework for systematic resource evaluation.</w:t>
      </w:r>
      <w:r w:rsidR="00BE17EC" w:rsidRPr="00684455">
        <w:rPr>
          <w:rFonts w:ascii="Times New Roman" w:hAnsi="Times New Roman" w:cs="Times New Roman"/>
        </w:rPr>
        <w:t xml:space="preserve"> </w:t>
      </w:r>
    </w:p>
    <w:p w:rsidR="00B62559" w:rsidRPr="00C76A98" w:rsidRDefault="00AF41AA" w:rsidP="00AF53E6">
      <w:pPr>
        <w:jc w:val="both"/>
        <w:rPr>
          <w:rFonts w:ascii="Times New Roman" w:hAnsi="Times New Roman" w:cs="Times New Roman"/>
          <w:b/>
          <w:bCs/>
          <w:i/>
          <w:iCs/>
        </w:rPr>
      </w:pPr>
      <w:r w:rsidRPr="00C76A98">
        <w:rPr>
          <w:rFonts w:ascii="Times New Roman" w:hAnsi="Times New Roman" w:cs="Times New Roman"/>
          <w:b/>
          <w:bCs/>
          <w:i/>
          <w:iCs/>
        </w:rPr>
        <w:t>Suggestions for future work</w:t>
      </w:r>
    </w:p>
    <w:p w:rsidR="00AF6A4D" w:rsidRPr="00684455" w:rsidRDefault="00B62559" w:rsidP="00AF6A4D">
      <w:pPr>
        <w:jc w:val="both"/>
        <w:rPr>
          <w:rFonts w:ascii="Times New Roman" w:hAnsi="Times New Roman" w:cs="Times New Roman"/>
        </w:rPr>
      </w:pPr>
      <w:r w:rsidRPr="00684455">
        <w:rPr>
          <w:rFonts w:ascii="Times New Roman" w:hAnsi="Times New Roman" w:cs="Times New Roman"/>
        </w:rPr>
        <w:t xml:space="preserve">Future work should </w:t>
      </w:r>
      <w:proofErr w:type="spellStart"/>
      <w:r w:rsidRPr="00684455">
        <w:rPr>
          <w:rFonts w:ascii="Times New Roman" w:hAnsi="Times New Roman" w:cs="Times New Roman"/>
        </w:rPr>
        <w:t>prioritise</w:t>
      </w:r>
      <w:proofErr w:type="spellEnd"/>
      <w:r w:rsidRPr="00684455">
        <w:rPr>
          <w:rFonts w:ascii="Times New Roman" w:hAnsi="Times New Roman" w:cs="Times New Roman"/>
        </w:rPr>
        <w:t xml:space="preserve"> resource upgrading through systematic grid-based drilling with optimal spacing to achieve UNFC 121/122 and later 111 resource classification. Continuous core recovery and detailed litho-logging with geotechnical parameters must be ensured to capture </w:t>
      </w:r>
      <w:r w:rsidRPr="00684455">
        <w:rPr>
          <w:rFonts w:ascii="Times New Roman" w:hAnsi="Times New Roman" w:cs="Times New Roman"/>
        </w:rPr>
        <w:lastRenderedPageBreak/>
        <w:t xml:space="preserve">variation in pellet maturity, glauconite content, and K₂O% across the horizon. A comprehensive analytical program, including bulk beneficiation testing and potassium extraction studies, should be integrated into the exploration flow to benchmark industrial applicability. High-resolution geophysical surveys (radiometric/EM) and down-hole logging are recommended to refine lateral continuity between drill fences and </w:t>
      </w:r>
      <w:proofErr w:type="spellStart"/>
      <w:r w:rsidRPr="00684455">
        <w:rPr>
          <w:rFonts w:ascii="Times New Roman" w:hAnsi="Times New Roman" w:cs="Times New Roman"/>
        </w:rPr>
        <w:t>optimise</w:t>
      </w:r>
      <w:proofErr w:type="spellEnd"/>
      <w:r w:rsidRPr="00684455">
        <w:rPr>
          <w:rFonts w:ascii="Times New Roman" w:hAnsi="Times New Roman" w:cs="Times New Roman"/>
        </w:rPr>
        <w:t xml:space="preserve"> drilling costs. 3-D geological and block modelling should be undertaken to define grade shells, thickness envelopes, and tonnage-grade relationships for mine planning. Pilot-scale trial mining is advised once a minimum threshold resource is established, followed by techno-economic feasibility studies aligned with the National Non-Ferrous Mineral Index Roadmap for safe and sustainable exploitation. Continuous monitoring of global glauconite extraction technologies and beneficiation innovations should be incorporated to maintain economic and technological competitiveness.</w:t>
      </w:r>
    </w:p>
    <w:p w:rsidR="00B571BD" w:rsidRPr="00684455" w:rsidRDefault="00361D77" w:rsidP="00B571BD">
      <w:pPr>
        <w:jc w:val="both"/>
        <w:rPr>
          <w:rFonts w:ascii="Times New Roman" w:hAnsi="Times New Roman" w:cs="Times New Roman"/>
          <w:b/>
          <w:bCs/>
        </w:rPr>
      </w:pPr>
      <w:r w:rsidRPr="00684455">
        <w:rPr>
          <w:rFonts w:ascii="Times New Roman" w:hAnsi="Times New Roman" w:cs="Times New Roman"/>
          <w:b/>
          <w:bCs/>
        </w:rPr>
        <w:t xml:space="preserve">To </w:t>
      </w:r>
      <w:r w:rsidR="00C0092B" w:rsidRPr="00684455">
        <w:rPr>
          <w:rFonts w:ascii="Times New Roman" w:hAnsi="Times New Roman" w:cs="Times New Roman"/>
          <w:b/>
          <w:bCs/>
        </w:rPr>
        <w:t>summarize</w:t>
      </w:r>
      <w:r w:rsidRPr="00684455">
        <w:rPr>
          <w:rFonts w:ascii="Times New Roman" w:hAnsi="Times New Roman" w:cs="Times New Roman"/>
          <w:b/>
          <w:bCs/>
        </w:rPr>
        <w:t xml:space="preserve"> it is </w:t>
      </w:r>
      <w:r w:rsidR="008972A8" w:rsidRPr="00684455">
        <w:rPr>
          <w:rFonts w:ascii="Times New Roman" w:hAnsi="Times New Roman" w:cs="Times New Roman"/>
          <w:b/>
          <w:bCs/>
        </w:rPr>
        <w:t xml:space="preserve">observed </w:t>
      </w:r>
      <w:r w:rsidRPr="00684455">
        <w:rPr>
          <w:rFonts w:ascii="Times New Roman" w:hAnsi="Times New Roman" w:cs="Times New Roman"/>
          <w:b/>
          <w:bCs/>
        </w:rPr>
        <w:t xml:space="preserve">that the </w:t>
      </w:r>
      <w:proofErr w:type="spellStart"/>
      <w:r w:rsidRPr="00684455">
        <w:rPr>
          <w:rFonts w:ascii="Times New Roman" w:hAnsi="Times New Roman" w:cs="Times New Roman"/>
          <w:b/>
          <w:bCs/>
        </w:rPr>
        <w:t>Kisanpur</w:t>
      </w:r>
      <w:proofErr w:type="spellEnd"/>
      <w:r w:rsidRPr="00684455">
        <w:rPr>
          <w:rFonts w:ascii="Times New Roman" w:hAnsi="Times New Roman" w:cs="Times New Roman"/>
          <w:b/>
          <w:bCs/>
        </w:rPr>
        <w:t xml:space="preserve"> block</w:t>
      </w:r>
      <w:r w:rsidR="00B571BD" w:rsidRPr="00684455">
        <w:rPr>
          <w:rFonts w:ascii="Times New Roman" w:hAnsi="Times New Roman" w:cs="Times New Roman"/>
          <w:b/>
          <w:bCs/>
        </w:rPr>
        <w:t xml:space="preserve">, </w:t>
      </w:r>
      <w:proofErr w:type="spellStart"/>
      <w:r w:rsidR="00B571BD" w:rsidRPr="00684455">
        <w:rPr>
          <w:rFonts w:ascii="Times New Roman" w:hAnsi="Times New Roman" w:cs="Times New Roman"/>
          <w:b/>
          <w:bCs/>
        </w:rPr>
        <w:t>Majhgaon</w:t>
      </w:r>
      <w:proofErr w:type="spellEnd"/>
      <w:r w:rsidR="00B571BD" w:rsidRPr="00684455">
        <w:rPr>
          <w:rFonts w:ascii="Times New Roman" w:hAnsi="Times New Roman" w:cs="Times New Roman"/>
          <w:b/>
          <w:bCs/>
        </w:rPr>
        <w:t>, Dist. Satna, Madhya Pradesh</w:t>
      </w:r>
      <w:r w:rsidR="008972A8" w:rsidRPr="00684455">
        <w:rPr>
          <w:rFonts w:ascii="Times New Roman" w:hAnsi="Times New Roman" w:cs="Times New Roman"/>
          <w:b/>
          <w:bCs/>
        </w:rPr>
        <w:t>,</w:t>
      </w:r>
      <w:r w:rsidR="00C0092B" w:rsidRPr="00684455">
        <w:rPr>
          <w:rFonts w:ascii="Times New Roman" w:hAnsi="Times New Roman" w:cs="Times New Roman"/>
          <w:b/>
          <w:bCs/>
        </w:rPr>
        <w:t xml:space="preserve"> has been successfully explored for G-4 exploration. </w:t>
      </w:r>
      <w:r w:rsidR="008972A8" w:rsidRPr="00684455">
        <w:rPr>
          <w:rFonts w:ascii="Times New Roman" w:hAnsi="Times New Roman" w:cs="Times New Roman"/>
          <w:b/>
          <w:bCs/>
        </w:rPr>
        <w:t>All the targets have been fully achieved</w:t>
      </w:r>
      <w:r w:rsidR="00F62C91" w:rsidRPr="00684455">
        <w:rPr>
          <w:rFonts w:ascii="Times New Roman" w:hAnsi="Times New Roman" w:cs="Times New Roman"/>
          <w:b/>
          <w:bCs/>
        </w:rPr>
        <w:t xml:space="preserve">. </w:t>
      </w:r>
      <w:r w:rsidR="00C0092B" w:rsidRPr="00684455">
        <w:rPr>
          <w:rFonts w:ascii="Times New Roman" w:hAnsi="Times New Roman" w:cs="Times New Roman"/>
          <w:b/>
          <w:bCs/>
        </w:rPr>
        <w:t>The results obtained are quite encouraging and hence the block may be taken up for next higher stages of exploration</w:t>
      </w:r>
      <w:r w:rsidR="00F62C91" w:rsidRPr="00684455">
        <w:rPr>
          <w:rFonts w:ascii="Times New Roman" w:hAnsi="Times New Roman" w:cs="Times New Roman"/>
          <w:b/>
          <w:bCs/>
        </w:rPr>
        <w:t>.</w:t>
      </w:r>
    </w:p>
    <w:p w:rsidR="001E47FC" w:rsidRPr="00684455" w:rsidRDefault="001E47FC" w:rsidP="00AF6A4D">
      <w:pPr>
        <w:jc w:val="both"/>
        <w:rPr>
          <w:rFonts w:ascii="Times New Roman" w:hAnsi="Times New Roman" w:cs="Times New Roman"/>
        </w:rPr>
      </w:pPr>
    </w:p>
    <w:p w:rsidR="00F62C91" w:rsidRPr="00684455" w:rsidRDefault="00F62C91" w:rsidP="00AF6A4D">
      <w:pPr>
        <w:jc w:val="both"/>
        <w:rPr>
          <w:rFonts w:ascii="Times New Roman" w:hAnsi="Times New Roman" w:cs="Times New Roman"/>
        </w:rPr>
      </w:pPr>
    </w:p>
    <w:p w:rsidR="00F62C91" w:rsidRPr="00684455" w:rsidRDefault="00870F07" w:rsidP="00870F07">
      <w:pPr>
        <w:rPr>
          <w:rFonts w:ascii="Times New Roman" w:hAnsi="Times New Roman" w:cs="Times New Roman"/>
          <w:b/>
          <w:bCs/>
        </w:rPr>
      </w:pPr>
      <w:r w:rsidRPr="00684455">
        <w:rPr>
          <w:rFonts w:ascii="Times New Roman" w:hAnsi="Times New Roman" w:cs="Times New Roman"/>
          <w:b/>
          <w:bCs/>
        </w:rPr>
        <w:t>Pramod Kumar</w:t>
      </w:r>
      <w:r w:rsidRPr="00684455">
        <w:rPr>
          <w:rFonts w:ascii="Times New Roman" w:hAnsi="Times New Roman" w:cs="Times New Roman"/>
          <w:b/>
          <w:bCs/>
        </w:rPr>
        <w:br/>
        <w:t>Former Additional Director, AMD</w:t>
      </w:r>
      <w:r w:rsidR="001C3FDA" w:rsidRPr="00684455">
        <w:rPr>
          <w:rFonts w:ascii="Times New Roman" w:hAnsi="Times New Roman" w:cs="Times New Roman"/>
          <w:b/>
          <w:bCs/>
        </w:rPr>
        <w:t xml:space="preserve"> Hyderabad.</w:t>
      </w:r>
    </w:p>
    <w:sectPr w:rsidR="00F62C91" w:rsidRPr="00684455" w:rsidSect="008044D7">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AD5" w:rsidRDefault="00CB0AD5" w:rsidP="005B5463">
      <w:pPr>
        <w:spacing w:after="0" w:line="240" w:lineRule="auto"/>
      </w:pPr>
      <w:r>
        <w:separator/>
      </w:r>
    </w:p>
  </w:endnote>
  <w:endnote w:type="continuationSeparator" w:id="0">
    <w:p w:rsidR="00CB0AD5" w:rsidRDefault="00CB0AD5" w:rsidP="005B54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AD5" w:rsidRDefault="00CB0AD5" w:rsidP="005B5463">
      <w:pPr>
        <w:spacing w:after="0" w:line="240" w:lineRule="auto"/>
      </w:pPr>
      <w:r>
        <w:separator/>
      </w:r>
    </w:p>
  </w:footnote>
  <w:footnote w:type="continuationSeparator" w:id="0">
    <w:p w:rsidR="00CB0AD5" w:rsidRDefault="00CB0AD5" w:rsidP="005B546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463" w:rsidRDefault="005B5463">
    <w:pPr>
      <w:pStyle w:val="Header"/>
    </w:pPr>
    <w:r>
      <w:rPr>
        <w:noProof/>
        <w:lang w:bidi="hi-IN"/>
      </w:rPr>
      <w:drawing>
        <wp:anchor distT="0" distB="0" distL="114300" distR="114300" simplePos="0" relativeHeight="251658240" behindDoc="1" locked="0" layoutInCell="1" allowOverlap="1">
          <wp:simplePos x="0" y="0"/>
          <wp:positionH relativeFrom="column">
            <wp:posOffset>5400675</wp:posOffset>
          </wp:positionH>
          <wp:positionV relativeFrom="paragraph">
            <wp:posOffset>-142875</wp:posOffset>
          </wp:positionV>
          <wp:extent cx="410210" cy="504825"/>
          <wp:effectExtent l="19050" t="0" r="8890" b="0"/>
          <wp:wrapTight wrapText="bothSides">
            <wp:wrapPolygon edited="0">
              <wp:start x="-1003" y="0"/>
              <wp:lineTo x="-1003" y="21192"/>
              <wp:lineTo x="22068" y="21192"/>
              <wp:lineTo x="22068" y="0"/>
              <wp:lineTo x="-1003" y="0"/>
            </wp:wrapPolygon>
          </wp:wrapTight>
          <wp:docPr id="1" name="Picture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410210" cy="504825"/>
                  </a:xfrm>
                  <a:prstGeom prst="rect">
                    <a:avLst/>
                  </a:prstGeom>
                </pic:spPr>
              </pic:pic>
            </a:graphicData>
          </a:graphic>
        </wp:anchor>
      </w:drawing>
    </w:r>
  </w:p>
  <w:p w:rsidR="005B5463" w:rsidRDefault="005B5463">
    <w:pPr>
      <w:pStyle w:val="Header"/>
      <w:rPr>
        <w:rFonts w:ascii="Times New Roman" w:hAnsi="Times New Roman" w:cs="Times New Roman"/>
      </w:rPr>
    </w:pPr>
  </w:p>
  <w:p w:rsidR="005B5463" w:rsidRPr="005B5463" w:rsidRDefault="005B5463">
    <w:pPr>
      <w:pStyle w:val="Header"/>
      <w:rPr>
        <w:rFonts w:ascii="Times New Roman" w:hAnsi="Times New Roman" w:cs="Times New Roman"/>
      </w:rPr>
    </w:pPr>
    <w:r>
      <w:rPr>
        <w:rFonts w:ascii="Times New Roman" w:hAnsi="Times New Roman" w:cs="Times New Roman"/>
      </w:rPr>
      <w:t xml:space="preserve">                                                                                                                     ANNEXURE-XII-A/</w:t>
    </w:r>
    <w:r w:rsidRPr="005B5463">
      <w:rPr>
        <w:rFonts w:ascii="Times New Roman" w:hAnsi="Times New Roman" w:cs="Times New Roman"/>
      </w:rPr>
      <w:fldChar w:fldCharType="begin"/>
    </w:r>
    <w:r w:rsidRPr="005B5463">
      <w:rPr>
        <w:rFonts w:ascii="Times New Roman" w:hAnsi="Times New Roman" w:cs="Times New Roman"/>
      </w:rPr>
      <w:instrText xml:space="preserve"> PAGE   \* MERGEFORMAT </w:instrText>
    </w:r>
    <w:r w:rsidRPr="005B5463">
      <w:rPr>
        <w:rFonts w:ascii="Times New Roman" w:hAnsi="Times New Roman" w:cs="Times New Roman"/>
      </w:rPr>
      <w:fldChar w:fldCharType="separate"/>
    </w:r>
    <w:r>
      <w:rPr>
        <w:rFonts w:ascii="Times New Roman" w:hAnsi="Times New Roman" w:cs="Times New Roman"/>
        <w:noProof/>
      </w:rPr>
      <w:t>3</w:t>
    </w:r>
    <w:r w:rsidRPr="005B5463">
      <w:rPr>
        <w:rFonts w:ascii="Times New Roman" w:hAnsi="Times New Roman" w:cs="Times New Roman"/>
      </w:rPr>
      <w:fldChar w:fldCharType="end"/>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074"/>
  </w:hdrShapeDefaults>
  <w:footnotePr>
    <w:footnote w:id="-1"/>
    <w:footnote w:id="0"/>
  </w:footnotePr>
  <w:endnotePr>
    <w:endnote w:id="-1"/>
    <w:endnote w:id="0"/>
  </w:endnotePr>
  <w:compat/>
  <w:rsids>
    <w:rsidRoot w:val="00DC5CDC"/>
    <w:rsid w:val="00012AA7"/>
    <w:rsid w:val="000C2D63"/>
    <w:rsid w:val="000E3CF1"/>
    <w:rsid w:val="00110C30"/>
    <w:rsid w:val="001A0F3F"/>
    <w:rsid w:val="001C3FDA"/>
    <w:rsid w:val="001E47FC"/>
    <w:rsid w:val="00210248"/>
    <w:rsid w:val="002236E2"/>
    <w:rsid w:val="00261525"/>
    <w:rsid w:val="00285BDD"/>
    <w:rsid w:val="002B1AE3"/>
    <w:rsid w:val="00341FD8"/>
    <w:rsid w:val="00361D77"/>
    <w:rsid w:val="003809A9"/>
    <w:rsid w:val="003B2FD8"/>
    <w:rsid w:val="003C2F83"/>
    <w:rsid w:val="004E018F"/>
    <w:rsid w:val="00510A5E"/>
    <w:rsid w:val="0052498B"/>
    <w:rsid w:val="005B5463"/>
    <w:rsid w:val="006717FF"/>
    <w:rsid w:val="00684455"/>
    <w:rsid w:val="00690051"/>
    <w:rsid w:val="006972B0"/>
    <w:rsid w:val="006A6964"/>
    <w:rsid w:val="00712E12"/>
    <w:rsid w:val="00722249"/>
    <w:rsid w:val="00753A91"/>
    <w:rsid w:val="00757D06"/>
    <w:rsid w:val="00784463"/>
    <w:rsid w:val="007F13B0"/>
    <w:rsid w:val="008044D7"/>
    <w:rsid w:val="00811599"/>
    <w:rsid w:val="0084284C"/>
    <w:rsid w:val="00855474"/>
    <w:rsid w:val="00870F07"/>
    <w:rsid w:val="008972A8"/>
    <w:rsid w:val="009F1FCD"/>
    <w:rsid w:val="009F5263"/>
    <w:rsid w:val="009F6FA2"/>
    <w:rsid w:val="00A42E2D"/>
    <w:rsid w:val="00AF41AA"/>
    <w:rsid w:val="00AF53E6"/>
    <w:rsid w:val="00AF6A4D"/>
    <w:rsid w:val="00B571BD"/>
    <w:rsid w:val="00B62559"/>
    <w:rsid w:val="00B64861"/>
    <w:rsid w:val="00BE17EC"/>
    <w:rsid w:val="00C0092B"/>
    <w:rsid w:val="00C76A98"/>
    <w:rsid w:val="00CB0AD5"/>
    <w:rsid w:val="00CD0CE6"/>
    <w:rsid w:val="00D73411"/>
    <w:rsid w:val="00DA74E4"/>
    <w:rsid w:val="00DC5CDC"/>
    <w:rsid w:val="00DE3CBE"/>
    <w:rsid w:val="00DF58A6"/>
    <w:rsid w:val="00EB15C0"/>
    <w:rsid w:val="00EE694A"/>
    <w:rsid w:val="00F62C91"/>
    <w:rsid w:val="00F9477F"/>
    <w:rsid w:val="00F955BB"/>
    <w:rsid w:val="00FE7964"/>
    <w:rsid w:val="00FF7613"/>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4D7"/>
  </w:style>
  <w:style w:type="paragraph" w:styleId="Heading1">
    <w:name w:val="heading 1"/>
    <w:basedOn w:val="Normal"/>
    <w:next w:val="Normal"/>
    <w:link w:val="Heading1Char"/>
    <w:uiPriority w:val="9"/>
    <w:qFormat/>
    <w:rsid w:val="00DC5CD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C5C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C5CD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C5CD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C5CD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C5C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5C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5C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5C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5CD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C5CD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C5CD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C5CD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C5CD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C5C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5C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5C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5CDC"/>
    <w:rPr>
      <w:rFonts w:eastAsiaTheme="majorEastAsia" w:cstheme="majorBidi"/>
      <w:color w:val="272727" w:themeColor="text1" w:themeTint="D8"/>
    </w:rPr>
  </w:style>
  <w:style w:type="paragraph" w:styleId="Title">
    <w:name w:val="Title"/>
    <w:basedOn w:val="Normal"/>
    <w:next w:val="Normal"/>
    <w:link w:val="TitleChar"/>
    <w:uiPriority w:val="10"/>
    <w:qFormat/>
    <w:rsid w:val="00DC5C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5C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5C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5C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5CDC"/>
    <w:pPr>
      <w:spacing w:before="160"/>
      <w:jc w:val="center"/>
    </w:pPr>
    <w:rPr>
      <w:i/>
      <w:iCs/>
      <w:color w:val="404040" w:themeColor="text1" w:themeTint="BF"/>
    </w:rPr>
  </w:style>
  <w:style w:type="character" w:customStyle="1" w:styleId="QuoteChar">
    <w:name w:val="Quote Char"/>
    <w:basedOn w:val="DefaultParagraphFont"/>
    <w:link w:val="Quote"/>
    <w:uiPriority w:val="29"/>
    <w:rsid w:val="00DC5CDC"/>
    <w:rPr>
      <w:i/>
      <w:iCs/>
      <w:color w:val="404040" w:themeColor="text1" w:themeTint="BF"/>
    </w:rPr>
  </w:style>
  <w:style w:type="paragraph" w:styleId="ListParagraph">
    <w:name w:val="List Paragraph"/>
    <w:basedOn w:val="Normal"/>
    <w:uiPriority w:val="34"/>
    <w:qFormat/>
    <w:rsid w:val="00DC5CDC"/>
    <w:pPr>
      <w:ind w:left="720"/>
      <w:contextualSpacing/>
    </w:pPr>
  </w:style>
  <w:style w:type="character" w:styleId="IntenseEmphasis">
    <w:name w:val="Intense Emphasis"/>
    <w:basedOn w:val="DefaultParagraphFont"/>
    <w:uiPriority w:val="21"/>
    <w:qFormat/>
    <w:rsid w:val="00DC5CDC"/>
    <w:rPr>
      <w:i/>
      <w:iCs/>
      <w:color w:val="2F5496" w:themeColor="accent1" w:themeShade="BF"/>
    </w:rPr>
  </w:style>
  <w:style w:type="paragraph" w:styleId="IntenseQuote">
    <w:name w:val="Intense Quote"/>
    <w:basedOn w:val="Normal"/>
    <w:next w:val="Normal"/>
    <w:link w:val="IntenseQuoteChar"/>
    <w:uiPriority w:val="30"/>
    <w:qFormat/>
    <w:rsid w:val="00DC5C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C5CDC"/>
    <w:rPr>
      <w:i/>
      <w:iCs/>
      <w:color w:val="2F5496" w:themeColor="accent1" w:themeShade="BF"/>
    </w:rPr>
  </w:style>
  <w:style w:type="character" w:styleId="IntenseReference">
    <w:name w:val="Intense Reference"/>
    <w:basedOn w:val="DefaultParagraphFont"/>
    <w:uiPriority w:val="32"/>
    <w:qFormat/>
    <w:rsid w:val="00DC5CDC"/>
    <w:rPr>
      <w:b/>
      <w:bCs/>
      <w:smallCaps/>
      <w:color w:val="2F5496" w:themeColor="accent1" w:themeShade="BF"/>
      <w:spacing w:val="5"/>
    </w:rPr>
  </w:style>
  <w:style w:type="paragraph" w:styleId="Header">
    <w:name w:val="header"/>
    <w:basedOn w:val="Normal"/>
    <w:link w:val="HeaderChar"/>
    <w:uiPriority w:val="99"/>
    <w:semiHidden/>
    <w:unhideWhenUsed/>
    <w:rsid w:val="005B546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B5463"/>
  </w:style>
  <w:style w:type="paragraph" w:styleId="Footer">
    <w:name w:val="footer"/>
    <w:basedOn w:val="Normal"/>
    <w:link w:val="FooterChar"/>
    <w:uiPriority w:val="99"/>
    <w:unhideWhenUsed/>
    <w:rsid w:val="005B54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5463"/>
  </w:style>
  <w:style w:type="paragraph" w:styleId="BalloonText">
    <w:name w:val="Balloon Text"/>
    <w:basedOn w:val="Normal"/>
    <w:link w:val="BalloonTextChar"/>
    <w:uiPriority w:val="99"/>
    <w:semiHidden/>
    <w:unhideWhenUsed/>
    <w:rsid w:val="005B54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54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1338</Words>
  <Characters>7629</Characters>
  <Application>Microsoft Office Word</Application>
  <DocSecurity>0</DocSecurity>
  <Lines>63</Lines>
  <Paragraphs>17</Paragraphs>
  <ScaleCrop>false</ScaleCrop>
  <Company/>
  <LinksUpToDate>false</LinksUpToDate>
  <CharactersWithSpaces>8950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Pramod Kumar</dc:creator>
  <cp:keywords/>
  <dc:description/>
  <cp:lastModifiedBy>mecl</cp:lastModifiedBy>
  <cp:revision>64</cp:revision>
  <dcterms:created xsi:type="dcterms:W3CDTF">2025-11-28T16:25:00Z</dcterms:created>
  <dcterms:modified xsi:type="dcterms:W3CDTF">2025-12-22T10:32:00Z</dcterms:modified>
</cp:coreProperties>
</file>